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01B4A0FF"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16AB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100C9C">
        <w:rPr>
          <w:b/>
          <w:noProof/>
          <w:sz w:val="24"/>
          <w:lang w:val="en-US"/>
        </w:rPr>
        <w:t>5</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637D91">
        <w:rPr>
          <w:b/>
          <w:noProof/>
          <w:sz w:val="24"/>
          <w:lang w:val="en-US"/>
        </w:rPr>
        <w:t>400791</w:t>
      </w:r>
    </w:p>
    <w:p w14:paraId="015EA4F0" w14:textId="19465359" w:rsidR="00CD7379" w:rsidRPr="005E0023" w:rsidRDefault="00100C9C" w:rsidP="00CD7379">
      <w:pPr>
        <w:tabs>
          <w:tab w:val="left" w:pos="1985"/>
        </w:tabs>
        <w:rPr>
          <w:bCs/>
          <w:i/>
          <w:iCs/>
          <w:color w:val="2F5496"/>
          <w:sz w:val="24"/>
          <w:lang w:val="en-US"/>
        </w:rPr>
      </w:pPr>
      <w:r>
        <w:rPr>
          <w:rFonts w:ascii="Arial" w:eastAsia="MS Mincho" w:hAnsi="Arial"/>
          <w:b/>
          <w:noProof/>
          <w:sz w:val="24"/>
        </w:rPr>
        <w:t>Athens</w:t>
      </w:r>
      <w:r w:rsidR="00E16E40">
        <w:rPr>
          <w:rFonts w:ascii="Arial" w:eastAsia="MS Mincho" w:hAnsi="Arial"/>
          <w:b/>
          <w:noProof/>
          <w:sz w:val="24"/>
        </w:rPr>
        <w:t xml:space="preserve">, </w:t>
      </w:r>
      <w:r>
        <w:rPr>
          <w:rFonts w:ascii="Arial" w:eastAsia="MS Mincho" w:hAnsi="Arial"/>
          <w:b/>
          <w:noProof/>
          <w:sz w:val="24"/>
        </w:rPr>
        <w:t>Greece</w:t>
      </w:r>
      <w:r w:rsidR="00607FD8" w:rsidRPr="00607FD8">
        <w:rPr>
          <w:rFonts w:ascii="Arial" w:eastAsia="MS Mincho" w:hAnsi="Arial"/>
          <w:b/>
          <w:noProof/>
          <w:sz w:val="24"/>
        </w:rPr>
        <w:t xml:space="preserve">, </w:t>
      </w:r>
      <w:r>
        <w:rPr>
          <w:rFonts w:ascii="Arial" w:eastAsia="MS Mincho" w:hAnsi="Arial"/>
          <w:b/>
          <w:noProof/>
          <w:sz w:val="24"/>
        </w:rPr>
        <w:t>Feb 26</w:t>
      </w:r>
      <w:r w:rsidR="00607FD8" w:rsidRPr="00607FD8">
        <w:rPr>
          <w:rFonts w:ascii="Arial" w:eastAsia="MS Mincho" w:hAnsi="Arial"/>
          <w:b/>
          <w:noProof/>
          <w:sz w:val="24"/>
        </w:rPr>
        <w:t>-</w:t>
      </w:r>
      <w:r>
        <w:rPr>
          <w:rFonts w:ascii="Arial" w:eastAsia="MS Mincho" w:hAnsi="Arial"/>
          <w:b/>
          <w:noProof/>
          <w:sz w:val="24"/>
        </w:rPr>
        <w:t xml:space="preserve"> March 1</w:t>
      </w:r>
      <w:r w:rsidR="00607FD8" w:rsidRPr="00607FD8">
        <w:rPr>
          <w:rFonts w:ascii="Arial" w:eastAsia="MS Mincho" w:hAnsi="Arial"/>
          <w:b/>
          <w:noProof/>
          <w:sz w:val="24"/>
        </w:rPr>
        <w:t>, 202</w:t>
      </w:r>
      <w:r>
        <w:rPr>
          <w:rFonts w:ascii="Arial" w:eastAsia="MS Mincho" w:hAnsi="Arial"/>
          <w:b/>
          <w:noProof/>
          <w:sz w:val="24"/>
        </w:rPr>
        <w:t>4</w:t>
      </w:r>
      <w:r w:rsidR="00CD7379">
        <w:rPr>
          <w:rFonts w:ascii="Arial" w:eastAsia="MS Mincho" w:hAnsi="Arial"/>
          <w:b/>
          <w:noProof/>
          <w:sz w:val="24"/>
        </w:rPr>
        <w:tab/>
        <w:t xml:space="preserve">     </w:t>
      </w:r>
    </w:p>
    <w:p w14:paraId="25DAFCD2" w14:textId="6E0CF181" w:rsidR="00262EDD" w:rsidRPr="005E0023"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5738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E0023">
        <w:rPr>
          <w:b/>
          <w:sz w:val="24"/>
          <w:lang w:val="en-US"/>
        </w:rPr>
        <w:t>Agenda item:</w:t>
      </w:r>
      <w:r w:rsidRPr="005E0023">
        <w:rPr>
          <w:sz w:val="24"/>
          <w:lang w:val="en-US"/>
        </w:rPr>
        <w:tab/>
        <w:t xml:space="preserve">    </w:t>
      </w:r>
      <w:r w:rsidR="00A45319" w:rsidRPr="005E0023">
        <w:rPr>
          <w:sz w:val="24"/>
          <w:lang w:val="en-US"/>
        </w:rPr>
        <w:t>7</w:t>
      </w:r>
      <w:r w:rsidRPr="005E0023">
        <w:rPr>
          <w:sz w:val="24"/>
          <w:lang w:val="en-US"/>
        </w:rPr>
        <w:t>.3.</w:t>
      </w:r>
      <w:r w:rsidR="00C76E5B" w:rsidRPr="005E0023">
        <w:rPr>
          <w:sz w:val="24"/>
          <w:lang w:val="en-US"/>
        </w:rPr>
        <w:t>2</w:t>
      </w:r>
      <w:r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9F0D0E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00C9C">
        <w:rPr>
          <w:rFonts w:ascii="Arial" w:hAnsi="Arial"/>
          <w:sz w:val="24"/>
        </w:rPr>
        <w:t>User Plane Open Issues for NES</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Pr="00320A6B" w:rsidRDefault="0056573F" w:rsidP="00CD4C7B">
      <w:pPr>
        <w:pStyle w:val="Heading1"/>
      </w:pPr>
      <w:r w:rsidRPr="00320A6B">
        <w:t>Introduction</w:t>
      </w:r>
    </w:p>
    <w:p w14:paraId="51013FC4" w14:textId="10B3ECFA" w:rsidR="00280F5B" w:rsidRDefault="00100C9C" w:rsidP="005B6108">
      <w:pPr>
        <w:spacing w:after="0"/>
      </w:pPr>
      <w:r>
        <w:t>In RAN2 #124, the Rel-18 NES WI was closed from a RAN2 pov. The User Plane rapporteur have identified the following open issues for further handling in the maintenance phase:</w:t>
      </w:r>
    </w:p>
    <w:tbl>
      <w:tblPr>
        <w:tblStyle w:val="TableGrid"/>
        <w:tblW w:w="0" w:type="auto"/>
        <w:tblLook w:val="04A0" w:firstRow="1" w:lastRow="0" w:firstColumn="1" w:lastColumn="0" w:noHBand="0" w:noVBand="1"/>
      </w:tblPr>
      <w:tblGrid>
        <w:gridCol w:w="9631"/>
      </w:tblGrid>
      <w:tr w:rsidR="00100C9C" w14:paraId="127A9F4A" w14:textId="77777777" w:rsidTr="00100C9C">
        <w:tc>
          <w:tcPr>
            <w:tcW w:w="9631" w:type="dxa"/>
          </w:tcPr>
          <w:p w14:paraId="747F4B01" w14:textId="77777777" w:rsidR="00100C9C" w:rsidRDefault="00100C9C" w:rsidP="00100C9C">
            <w:pPr>
              <w:pStyle w:val="ListParagraph"/>
              <w:numPr>
                <w:ilvl w:val="0"/>
                <w:numId w:val="21"/>
              </w:numPr>
              <w:spacing w:before="100" w:beforeAutospacing="1" w:after="240"/>
              <w:contextualSpacing w:val="0"/>
              <w:rPr>
                <w:rFonts w:ascii="Calibri" w:eastAsia="Times New Roman" w:hAnsi="Calibri" w:cs="Calibri"/>
                <w:b/>
                <w:bCs/>
                <w:sz w:val="22"/>
                <w:szCs w:val="22"/>
                <w:lang w:val="en-US" w:eastAsia="x-none"/>
              </w:rPr>
            </w:pPr>
            <w:r>
              <w:rPr>
                <w:rFonts w:ascii="Calibri" w:eastAsia="Times New Roman" w:hAnsi="Calibri" w:cs="Calibri"/>
                <w:sz w:val="22"/>
                <w:szCs w:val="22"/>
              </w:rPr>
              <w:t>For the R1 agreement “</w:t>
            </w:r>
            <w:r>
              <w:rPr>
                <w:rFonts w:ascii="Calibri" w:eastAsia="Times New Roman" w:hAnsi="Calibri" w:cs="Calibri"/>
                <w:sz w:val="22"/>
                <w:szCs w:val="22"/>
                <w:lang w:eastAsia="zh-CN"/>
              </w:rPr>
              <w:t>UE is expected to monitor DCI format 2_9 during active periods of C-DRX</w:t>
            </w:r>
            <w:r>
              <w:rPr>
                <w:rFonts w:ascii="Calibri" w:eastAsia="Times New Roman" w:hAnsi="Calibri" w:cs="Calibri"/>
                <w:sz w:val="22"/>
                <w:szCs w:val="22"/>
              </w:rPr>
              <w:t xml:space="preserve">”, </w:t>
            </w:r>
            <w:r>
              <w:rPr>
                <w:rFonts w:ascii="Calibri" w:eastAsia="Times New Roman" w:hAnsi="Calibri" w:cs="Calibri"/>
                <w:sz w:val="22"/>
                <w:szCs w:val="22"/>
              </w:rPr>
              <w:br/>
              <w:t>we follow what was agreed “RAN2 will capture the NES-RNTI monitoring behavior in February meeting (once discussion is finalized)”</w:t>
            </w:r>
            <w:r>
              <w:rPr>
                <w:rFonts w:ascii="Calibri" w:eastAsia="Times New Roman" w:hAnsi="Calibri" w:cs="Calibri"/>
                <w:sz w:val="22"/>
                <w:szCs w:val="22"/>
              </w:rPr>
              <w:br/>
              <w:t>Companies are encouraged to address this in this issue and how to capture it in their tdocs.</w:t>
            </w:r>
          </w:p>
          <w:p w14:paraId="526D5648" w14:textId="77777777" w:rsidR="00100C9C" w:rsidRDefault="00100C9C" w:rsidP="00100C9C">
            <w:pPr>
              <w:pStyle w:val="ListParagraph"/>
              <w:numPr>
                <w:ilvl w:val="0"/>
                <w:numId w:val="21"/>
              </w:numPr>
              <w:spacing w:before="100" w:beforeAutospacing="1" w:after="100" w:afterAutospacing="1" w:line="252" w:lineRule="auto"/>
              <w:contextualSpacing w:val="0"/>
              <w:jc w:val="both"/>
              <w:rPr>
                <w:rFonts w:ascii="Calibri" w:eastAsia="Times New Roman" w:hAnsi="Calibri" w:cs="Calibri"/>
                <w:sz w:val="22"/>
                <w:szCs w:val="22"/>
                <w:lang w:eastAsia="zh-CN"/>
              </w:rPr>
            </w:pPr>
            <w:r>
              <w:rPr>
                <w:rFonts w:ascii="Calibri" w:eastAsia="Times New Roman" w:hAnsi="Calibri" w:cs="Calibri"/>
                <w:sz w:val="22"/>
                <w:szCs w:val="22"/>
              </w:rPr>
              <w:t>For the R1 agreement “</w:t>
            </w:r>
            <w:r>
              <w:rPr>
                <w:rFonts w:ascii="Calibri" w:eastAsia="Times New Roman" w:hAnsi="Calibri" w:cs="Calibri"/>
                <w:sz w:val="22"/>
                <w:szCs w:val="22"/>
                <w:lang w:eastAsia="zh-CN"/>
              </w:rPr>
              <w:t>Cell DTX/DRX operation is only supported for sTRP</w:t>
            </w:r>
            <w:r>
              <w:rPr>
                <w:rFonts w:ascii="Calibri" w:eastAsia="Times New Roman" w:hAnsi="Calibri" w:cs="Calibri"/>
                <w:sz w:val="22"/>
                <w:szCs w:val="22"/>
              </w:rPr>
              <w:t>”, R2 has received an LS from R1 (R1-2312409) stating “RAN1 notes that it is up to RAN2 to decide whether/how to capture the above agreement in RAN2 specifications.” I therefore suggest that companies address this issue in their tdocs.</w:t>
            </w:r>
          </w:p>
          <w:p w14:paraId="12AD03E2" w14:textId="77777777" w:rsidR="00100C9C" w:rsidRDefault="00100C9C" w:rsidP="005B6108">
            <w:pPr>
              <w:spacing w:after="0"/>
            </w:pPr>
          </w:p>
        </w:tc>
      </w:tr>
    </w:tbl>
    <w:p w14:paraId="2D30EAED" w14:textId="77777777" w:rsidR="00100C9C" w:rsidRDefault="00100C9C" w:rsidP="005B6108">
      <w:pPr>
        <w:spacing w:after="0"/>
      </w:pPr>
    </w:p>
    <w:p w14:paraId="75D6FA3A" w14:textId="4870247E" w:rsidR="00100C9C" w:rsidRDefault="00100C9C" w:rsidP="005B6108">
      <w:pPr>
        <w:spacing w:after="0"/>
      </w:pPr>
      <w:r>
        <w:t xml:space="preserve">In this contribution we provide some views on the current open user plane issues </w:t>
      </w:r>
    </w:p>
    <w:p w14:paraId="33563154" w14:textId="2357603B" w:rsidR="00560D8B" w:rsidRDefault="00560D8B" w:rsidP="00560D8B">
      <w:pPr>
        <w:pStyle w:val="Heading1"/>
      </w:pPr>
      <w:r>
        <w:t>Monitoring DCI2_9</w:t>
      </w:r>
    </w:p>
    <w:p w14:paraId="0CAF3797" w14:textId="2B8633FD" w:rsidR="00560D8B" w:rsidRDefault="00560D8B" w:rsidP="00560D8B">
      <w:r>
        <w:t>RAN2 has had a long discussion last meeting about when UE should monitor DCI2_9 with the following meeting minutes captured in the chair notes [1]:</w:t>
      </w:r>
    </w:p>
    <w:tbl>
      <w:tblPr>
        <w:tblStyle w:val="TableGrid"/>
        <w:tblW w:w="0" w:type="auto"/>
        <w:tblLook w:val="04A0" w:firstRow="1" w:lastRow="0" w:firstColumn="1" w:lastColumn="0" w:noHBand="0" w:noVBand="1"/>
      </w:tblPr>
      <w:tblGrid>
        <w:gridCol w:w="9631"/>
      </w:tblGrid>
      <w:tr w:rsidR="00560D8B" w14:paraId="32BBAF61" w14:textId="77777777" w:rsidTr="00560D8B">
        <w:tc>
          <w:tcPr>
            <w:tcW w:w="9631" w:type="dxa"/>
          </w:tcPr>
          <w:p w14:paraId="7A94D6D3" w14:textId="77777777" w:rsidR="00560D8B" w:rsidRPr="00BF53A1" w:rsidRDefault="00560D8B" w:rsidP="00560D8B">
            <w:pPr>
              <w:pStyle w:val="Doc-text2"/>
              <w:rPr>
                <w:i/>
                <w:iCs/>
                <w:lang w:val="en-US"/>
              </w:rPr>
            </w:pPr>
            <w:r w:rsidRPr="00BF53A1">
              <w:rPr>
                <w:i/>
                <w:iCs/>
                <w:lang w:val="en-US"/>
              </w:rPr>
              <w:t>Discussion</w:t>
            </w:r>
          </w:p>
          <w:p w14:paraId="3B024B3F" w14:textId="77777777" w:rsidR="00560D8B" w:rsidRDefault="00560D8B" w:rsidP="00560D8B">
            <w:pPr>
              <w:pStyle w:val="Doc-text2"/>
              <w:rPr>
                <w:lang w:val="en-US"/>
              </w:rPr>
            </w:pPr>
            <w:r>
              <w:rPr>
                <w:lang w:val="en-US"/>
              </w:rPr>
              <w:t>-</w:t>
            </w:r>
            <w:r>
              <w:rPr>
                <w:lang w:val="en-US"/>
              </w:rPr>
              <w:tab/>
              <w:t xml:space="preserve">Lenovo thinks that we should discuss it in RAN2 and go with Vivo’s proposal.  Mediatek agrees and in 5.7 section it is clearly specified.   The NES case is different from paging case.  </w:t>
            </w:r>
          </w:p>
          <w:p w14:paraId="620D8D9F" w14:textId="77777777" w:rsidR="00560D8B" w:rsidRDefault="00560D8B" w:rsidP="00560D8B">
            <w:pPr>
              <w:pStyle w:val="Doc-text2"/>
              <w:rPr>
                <w:lang w:val="en-US"/>
              </w:rPr>
            </w:pPr>
            <w:r>
              <w:rPr>
                <w:lang w:val="en-US"/>
              </w:rPr>
              <w:t>-</w:t>
            </w:r>
            <w:r>
              <w:rPr>
                <w:lang w:val="en-US"/>
              </w:rPr>
              <w:tab/>
              <w:t xml:space="preserve">Nokia thinks that from NW perspective we don’t want to align with the UE’s active time.  It would be difficult to configure the search space with the UE active time.  Vodafone has sympathy for Nokia’s concern and with the common signaling we should be able to reach all the UEs.   ZTE also shares the same understanding as Nokia </w:t>
            </w:r>
          </w:p>
          <w:p w14:paraId="3CFEEF85" w14:textId="77777777" w:rsidR="00560D8B" w:rsidRDefault="00560D8B" w:rsidP="00560D8B">
            <w:pPr>
              <w:pStyle w:val="Doc-text2"/>
              <w:rPr>
                <w:lang w:val="en-US"/>
              </w:rPr>
            </w:pPr>
            <w:r>
              <w:rPr>
                <w:lang w:val="en-US"/>
              </w:rPr>
              <w:t>-</w:t>
            </w:r>
            <w:r>
              <w:rPr>
                <w:lang w:val="en-US"/>
              </w:rPr>
              <w:tab/>
              <w:t>CATT thinks that RAN1 should discuss</w:t>
            </w:r>
          </w:p>
          <w:p w14:paraId="1B37843B" w14:textId="77777777" w:rsidR="00560D8B" w:rsidRDefault="00560D8B" w:rsidP="00560D8B">
            <w:pPr>
              <w:pStyle w:val="Doc-text2"/>
              <w:rPr>
                <w:lang w:val="en-US"/>
              </w:rPr>
            </w:pPr>
            <w:r>
              <w:rPr>
                <w:lang w:val="en-US"/>
              </w:rPr>
              <w:t>-</w:t>
            </w:r>
            <w:r>
              <w:rPr>
                <w:lang w:val="en-US"/>
              </w:rPr>
              <w:tab/>
              <w:t xml:space="preserve">Apple thinks that this is a RAN2 feature.  QC also supports vivo’s proposal. </w:t>
            </w:r>
          </w:p>
          <w:p w14:paraId="3BD886C7" w14:textId="77777777" w:rsidR="00560D8B" w:rsidRDefault="00560D8B" w:rsidP="00560D8B">
            <w:pPr>
              <w:pStyle w:val="Doc-text2"/>
              <w:rPr>
                <w:lang w:val="en-US"/>
              </w:rPr>
            </w:pPr>
            <w:r>
              <w:rPr>
                <w:lang w:val="en-US"/>
              </w:rPr>
              <w:t>-</w:t>
            </w:r>
            <w:r>
              <w:rPr>
                <w:lang w:val="en-US"/>
              </w:rPr>
              <w:tab/>
              <w:t xml:space="preserve">Interdigital indicates that RAN1 has now agreed that NES-RNTI is monitored during C-DRX active time and no agreement on inactive time.  </w:t>
            </w:r>
          </w:p>
          <w:p w14:paraId="7CB754BC" w14:textId="77777777" w:rsidR="00560D8B" w:rsidRDefault="00560D8B" w:rsidP="00560D8B">
            <w:pPr>
              <w:pStyle w:val="Doc-text2"/>
              <w:rPr>
                <w:lang w:val="en-US"/>
              </w:rPr>
            </w:pPr>
            <w:r>
              <w:rPr>
                <w:lang w:val="en-US"/>
              </w:rPr>
              <w:t>-</w:t>
            </w:r>
            <w:r>
              <w:rPr>
                <w:lang w:val="en-US"/>
              </w:rPr>
              <w:tab/>
              <w:t xml:space="preserve">Nokia explains that it is common search space now RAN2 can decide and monitor all the time </w:t>
            </w:r>
          </w:p>
          <w:p w14:paraId="203AA556" w14:textId="77777777" w:rsidR="00560D8B" w:rsidRDefault="00560D8B" w:rsidP="00560D8B">
            <w:pPr>
              <w:pStyle w:val="Doc-text2"/>
              <w:rPr>
                <w:lang w:val="en-US"/>
              </w:rPr>
            </w:pPr>
            <w:r>
              <w:rPr>
                <w:lang w:val="en-US"/>
              </w:rPr>
              <w:t>-</w:t>
            </w:r>
            <w:r>
              <w:rPr>
                <w:lang w:val="en-US"/>
              </w:rPr>
              <w:tab/>
              <w:t>Samsung explains that it would be difficult for the UE to catch to search space during the active time.</w:t>
            </w:r>
          </w:p>
          <w:p w14:paraId="04E5A398" w14:textId="77777777" w:rsidR="00560D8B" w:rsidRDefault="00560D8B" w:rsidP="00560D8B">
            <w:pPr>
              <w:pStyle w:val="Doc-text2"/>
              <w:rPr>
                <w:lang w:val="en-US"/>
              </w:rPr>
            </w:pPr>
            <w:r>
              <w:rPr>
                <w:lang w:val="en-US"/>
              </w:rPr>
              <w:t>-</w:t>
            </w:r>
            <w:r>
              <w:rPr>
                <w:lang w:val="en-US"/>
              </w:rPr>
              <w:tab/>
              <w:t>Mediatek thinks that if we monitor all the time it could conflict with RAN1</w:t>
            </w:r>
          </w:p>
          <w:p w14:paraId="78C1BF67" w14:textId="77777777" w:rsidR="00560D8B" w:rsidRDefault="00560D8B" w:rsidP="00560D8B">
            <w:pPr>
              <w:pStyle w:val="Doc-text2"/>
              <w:rPr>
                <w:lang w:val="en-US"/>
              </w:rPr>
            </w:pPr>
            <w:r>
              <w:rPr>
                <w:lang w:val="en-US"/>
              </w:rPr>
              <w:t>-</w:t>
            </w:r>
            <w:r>
              <w:rPr>
                <w:lang w:val="en-US"/>
              </w:rPr>
              <w:tab/>
              <w:t xml:space="preserve">Xiaomi thinks that TPC is group common and it is during C-DRX so this is similar.  Oppo, Nokia and ZTE doesn’t think this is similar as DTX/DRX is common to all UEs. </w:t>
            </w:r>
          </w:p>
          <w:p w14:paraId="3BD8D3AB" w14:textId="77777777" w:rsidR="00560D8B" w:rsidRDefault="00560D8B" w:rsidP="00560D8B">
            <w:pPr>
              <w:pStyle w:val="Doc-text2"/>
              <w:rPr>
                <w:lang w:val="en-US"/>
              </w:rPr>
            </w:pPr>
            <w:r>
              <w:rPr>
                <w:lang w:val="en-US"/>
              </w:rPr>
              <w:t>-</w:t>
            </w:r>
            <w:r>
              <w:rPr>
                <w:lang w:val="en-US"/>
              </w:rPr>
              <w:tab/>
              <w:t>Oppo thinks that the UE should monitor no matter if DTX/DRX is active or inactive</w:t>
            </w:r>
          </w:p>
          <w:p w14:paraId="083D2DB4" w14:textId="77777777" w:rsidR="00560D8B" w:rsidRDefault="00560D8B" w:rsidP="00560D8B">
            <w:pPr>
              <w:pStyle w:val="Doc-text2"/>
              <w:rPr>
                <w:lang w:val="en-US"/>
              </w:rPr>
            </w:pPr>
            <w:r>
              <w:rPr>
                <w:lang w:val="en-US"/>
              </w:rPr>
              <w:lastRenderedPageBreak/>
              <w:t>-</w:t>
            </w:r>
            <w:r>
              <w:rPr>
                <w:lang w:val="en-US"/>
              </w:rPr>
              <w:tab/>
              <w:t xml:space="preserve">Qualcomm thinks that we should only monitor during active time.  </w:t>
            </w:r>
          </w:p>
          <w:p w14:paraId="2E0EF90E" w14:textId="77777777" w:rsidR="00560D8B" w:rsidRDefault="00560D8B" w:rsidP="00560D8B">
            <w:pPr>
              <w:pStyle w:val="Doc-text2"/>
              <w:rPr>
                <w:lang w:val="en-US"/>
              </w:rPr>
            </w:pPr>
            <w:r>
              <w:rPr>
                <w:lang w:val="en-US"/>
              </w:rPr>
              <w:t>-</w:t>
            </w:r>
            <w:r>
              <w:rPr>
                <w:lang w:val="en-US"/>
              </w:rPr>
              <w:tab/>
              <w:t xml:space="preserve">Lenovo thinks that cell DTX/DRX is mainly for low load so it is not very painful for the network.  Nokia indicates that this is cell specific not group specific.   ZTE also thinks that this is cell specific and if we need to take care of all C-DRX of UE this may not work.  </w:t>
            </w:r>
          </w:p>
          <w:p w14:paraId="0F755D70" w14:textId="77777777" w:rsidR="00560D8B" w:rsidRDefault="00560D8B" w:rsidP="00560D8B">
            <w:pPr>
              <w:pStyle w:val="Doc-text2"/>
              <w:rPr>
                <w:lang w:val="en-US"/>
              </w:rPr>
            </w:pPr>
            <w:r>
              <w:rPr>
                <w:lang w:val="en-US"/>
              </w:rPr>
              <w:t>-</w:t>
            </w:r>
            <w:r>
              <w:rPr>
                <w:lang w:val="en-US"/>
              </w:rPr>
              <w:tab/>
              <w:t xml:space="preserve">Fraunhofer says that this depends on whether the DTX/DRX is activated or not.  When deactivated the c-drx of UEs is scatterd but when activated it is aligned.  </w:t>
            </w:r>
          </w:p>
          <w:p w14:paraId="248E52E1" w14:textId="77777777" w:rsidR="00560D8B" w:rsidRDefault="00560D8B" w:rsidP="00560D8B">
            <w:pPr>
              <w:pStyle w:val="Doc-text2"/>
              <w:rPr>
                <w:lang w:val="en-US"/>
              </w:rPr>
            </w:pPr>
            <w:r>
              <w:rPr>
                <w:lang w:val="en-US"/>
              </w:rPr>
              <w:t>-</w:t>
            </w:r>
            <w:r>
              <w:rPr>
                <w:lang w:val="en-US"/>
              </w:rPr>
              <w:tab/>
              <w:t xml:space="preserve">Vodafone asks if we can make it configurable. </w:t>
            </w:r>
          </w:p>
          <w:p w14:paraId="030E3644" w14:textId="77777777" w:rsidR="00560D8B" w:rsidRDefault="00560D8B" w:rsidP="00560D8B">
            <w:pPr>
              <w:pStyle w:val="Doc-text2"/>
              <w:rPr>
                <w:lang w:val="en-US"/>
              </w:rPr>
            </w:pPr>
            <w:r>
              <w:rPr>
                <w:lang w:val="en-US"/>
              </w:rPr>
              <w:t>-</w:t>
            </w:r>
            <w:r>
              <w:rPr>
                <w:lang w:val="en-US"/>
              </w:rPr>
              <w:tab/>
              <w:t>Apple doesn’t want to touch the legacy feature and this impacts the legacy C-DRX as now the UE has to monitor during inactive time.   Samsung indicates that for some TPC-PUCCH-RNTI, SI-RNTI we always monitor even during inactive, so there is not much difference that legacy.</w:t>
            </w:r>
          </w:p>
          <w:p w14:paraId="1CD1ABE2" w14:textId="06CB0893" w:rsidR="00560D8B" w:rsidRPr="00560D8B" w:rsidRDefault="00560D8B" w:rsidP="00560D8B">
            <w:pPr>
              <w:pStyle w:val="Doc-text2"/>
              <w:rPr>
                <w:lang w:val="en-US"/>
              </w:rPr>
            </w:pPr>
            <w:r>
              <w:rPr>
                <w:lang w:val="en-US"/>
              </w:rPr>
              <w:t>-</w:t>
            </w:r>
            <w:r>
              <w:rPr>
                <w:lang w:val="en-US"/>
              </w:rPr>
              <w:tab/>
              <w:t xml:space="preserve">CATT thinks that there are pains on both sides, but for the UE the impact is greater as the UE has to monitor all the time.   Intel agrees with CATT and we don’t want to sacrifice the power of UE to wake up unnecessarily.  </w:t>
            </w:r>
          </w:p>
        </w:tc>
      </w:tr>
    </w:tbl>
    <w:p w14:paraId="48650474" w14:textId="452AB01C" w:rsidR="00560D8B" w:rsidRDefault="00560D8B" w:rsidP="00560D8B"/>
    <w:p w14:paraId="40CDAD14" w14:textId="238E3B5E" w:rsidR="00560D8B" w:rsidRDefault="00560D8B" w:rsidP="00560D8B">
      <w:r>
        <w:t xml:space="preserve">Summarizing the inputs, there were two camps, one that argued that UE should not be hit with an adverse impact due to NES optimizations, and another that argued that aligning signalling in UE active time undermines NES gains. Eventually, no agreement was </w:t>
      </w:r>
      <w:r w:rsidR="00637D91">
        <w:t>reached,</w:t>
      </w:r>
      <w:r>
        <w:t xml:space="preserve"> and the following was captured:</w:t>
      </w:r>
    </w:p>
    <w:p w14:paraId="625D1D5A" w14:textId="77777777" w:rsidR="00560D8B" w:rsidRPr="00FE5FB3" w:rsidRDefault="00560D8B" w:rsidP="00560D8B">
      <w:pPr>
        <w:pStyle w:val="Doc-text2"/>
        <w:pBdr>
          <w:top w:val="single" w:sz="4" w:space="1" w:color="auto"/>
          <w:left w:val="single" w:sz="4" w:space="31" w:color="auto"/>
          <w:bottom w:val="single" w:sz="4" w:space="1" w:color="auto"/>
          <w:right w:val="single" w:sz="4" w:space="4" w:color="auto"/>
        </w:pBdr>
        <w:rPr>
          <w:b/>
          <w:bCs/>
          <w:lang w:val="en-US"/>
        </w:rPr>
      </w:pPr>
      <w:r w:rsidRPr="00FE5FB3">
        <w:rPr>
          <w:b/>
          <w:bCs/>
          <w:lang w:val="en-US"/>
        </w:rPr>
        <w:t>Agreements:</w:t>
      </w:r>
    </w:p>
    <w:p w14:paraId="293BE501" w14:textId="77777777" w:rsidR="00560D8B" w:rsidRPr="00D736BF" w:rsidRDefault="00560D8B" w:rsidP="00560D8B">
      <w:pPr>
        <w:pStyle w:val="Doc-text2"/>
        <w:pBdr>
          <w:top w:val="single" w:sz="4" w:space="1" w:color="auto"/>
          <w:left w:val="single" w:sz="4" w:space="31" w:color="auto"/>
          <w:bottom w:val="single" w:sz="4" w:space="1" w:color="auto"/>
          <w:right w:val="single" w:sz="4" w:space="4" w:color="auto"/>
        </w:pBdr>
        <w:rPr>
          <w:lang w:val="en-US"/>
        </w:rPr>
      </w:pPr>
      <w:r>
        <w:rPr>
          <w:lang w:val="en-US"/>
        </w:rPr>
        <w:t xml:space="preserve">1. </w:t>
      </w:r>
      <w:r>
        <w:rPr>
          <w:lang w:val="en-US"/>
        </w:rPr>
        <w:tab/>
        <w:t>RAN2 will capture the NES-RNTI monitoring behavior in February meeting (once discussion is finalized)</w:t>
      </w:r>
    </w:p>
    <w:p w14:paraId="7160F004" w14:textId="6F15772D" w:rsidR="00560D8B" w:rsidRDefault="00560D8B" w:rsidP="00560D8B"/>
    <w:p w14:paraId="36B83978" w14:textId="7F371093" w:rsidR="00560D8B" w:rsidRPr="00560D8B" w:rsidRDefault="00560D8B" w:rsidP="00560D8B">
      <w:r>
        <w:t>A RAN1 discussion happened in parallel with the following eventual conclusion captured in the chair notes [2]:</w:t>
      </w:r>
    </w:p>
    <w:tbl>
      <w:tblPr>
        <w:tblW w:w="0" w:type="auto"/>
        <w:tblCellMar>
          <w:left w:w="0" w:type="dxa"/>
          <w:right w:w="0" w:type="dxa"/>
        </w:tblCellMar>
        <w:tblLook w:val="04A0" w:firstRow="1" w:lastRow="0" w:firstColumn="1" w:lastColumn="0" w:noHBand="0" w:noVBand="1"/>
      </w:tblPr>
      <w:tblGrid>
        <w:gridCol w:w="9350"/>
      </w:tblGrid>
      <w:tr w:rsidR="00560D8B" w14:paraId="68BC2847" w14:textId="77777777" w:rsidTr="00560D8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176CD" w14:textId="77777777" w:rsidR="00560D8B" w:rsidRDefault="00560D8B">
            <w:pPr>
              <w:rPr>
                <w:rFonts w:ascii="Times" w:hAnsi="Times" w:hint="eastAsia"/>
                <w:b/>
                <w:bCs/>
                <w:highlight w:val="green"/>
                <w:lang w:eastAsia="x-none"/>
              </w:rPr>
            </w:pPr>
            <w:r>
              <w:rPr>
                <w:b/>
                <w:bCs/>
                <w:highlight w:val="green"/>
                <w:lang w:eastAsia="x-none"/>
              </w:rPr>
              <w:t>Agreement</w:t>
            </w:r>
          </w:p>
          <w:p w14:paraId="05B777E2" w14:textId="77777777" w:rsidR="00560D8B" w:rsidRDefault="00560D8B">
            <w:pPr>
              <w:pStyle w:val="ListParagraph"/>
              <w:overflowPunct w:val="0"/>
              <w:ind w:left="0"/>
              <w:rPr>
                <w:rFonts w:ascii="Calibri" w:hAnsi="Calibri"/>
                <w:sz w:val="22"/>
                <w:szCs w:val="22"/>
                <w:lang w:eastAsia="zh-CN"/>
                <w14:ligatures w14:val="standardContextual"/>
              </w:rPr>
            </w:pPr>
            <w:r>
              <w:rPr>
                <w:lang w:eastAsia="zh-CN"/>
              </w:rPr>
              <w:t>UE is expected to monitor DCI format 2_9 during active periods of C-DRX</w:t>
            </w:r>
          </w:p>
          <w:p w14:paraId="6A7ED1AC" w14:textId="77777777" w:rsidR="00560D8B" w:rsidRDefault="00560D8B">
            <w:pPr>
              <w:pStyle w:val="ListParagraph"/>
              <w:overflowPunct w:val="0"/>
              <w:ind w:left="0"/>
              <w:rPr>
                <w:highlight w:val="yellow"/>
                <w:lang w:eastAsia="zh-CN"/>
              </w:rPr>
            </w:pPr>
          </w:p>
          <w:p w14:paraId="1E3E92A5" w14:textId="77777777" w:rsidR="00560D8B" w:rsidRDefault="00560D8B">
            <w:pPr>
              <w:pStyle w:val="ListParagraph"/>
              <w:overflowPunct w:val="0"/>
              <w:ind w:left="0"/>
              <w:rPr>
                <w:b/>
                <w:bCs/>
                <w:lang w:eastAsia="zh-CN"/>
              </w:rPr>
            </w:pPr>
            <w:r>
              <w:rPr>
                <w:b/>
                <w:bCs/>
                <w:lang w:eastAsia="zh-CN"/>
              </w:rPr>
              <w:t>Conclusion</w:t>
            </w:r>
          </w:p>
          <w:p w14:paraId="618C91A4" w14:textId="77777777" w:rsidR="00560D8B" w:rsidRDefault="00560D8B">
            <w:pPr>
              <w:pStyle w:val="ListParagraph"/>
              <w:overflowPunct w:val="0"/>
              <w:ind w:left="0"/>
              <w:rPr>
                <w:lang w:eastAsia="zh-CN"/>
              </w:rPr>
            </w:pPr>
            <w:r>
              <w:rPr>
                <w:lang w:eastAsia="zh-CN"/>
              </w:rPr>
              <w:t>There is no consensus in RAN1 on whether or not the UE is expected to monitor DCI format 2_9 during non-active periods on C-DRX</w:t>
            </w:r>
          </w:p>
        </w:tc>
      </w:tr>
    </w:tbl>
    <w:p w14:paraId="13972E89" w14:textId="77777777" w:rsidR="00560D8B" w:rsidRDefault="00560D8B" w:rsidP="00560D8B"/>
    <w:p w14:paraId="4D7518C9" w14:textId="7CA88D2D" w:rsidR="00560D8B" w:rsidRPr="00560D8B" w:rsidRDefault="00560D8B" w:rsidP="00560D8B">
      <w:pPr>
        <w:rPr>
          <w:b/>
          <w:bCs/>
          <w:lang w:eastAsia="zh-CN"/>
        </w:rPr>
      </w:pPr>
      <w:r w:rsidRPr="00560D8B">
        <w:rPr>
          <w:b/>
          <w:bCs/>
        </w:rPr>
        <w:t xml:space="preserve">Observation 1: Both RAN1 and RAN2 did not reach a consensus on whether UE is expected to monitor DCI2_9 </w:t>
      </w:r>
      <w:r w:rsidRPr="00560D8B">
        <w:rPr>
          <w:b/>
          <w:bCs/>
          <w:lang w:eastAsia="zh-CN"/>
        </w:rPr>
        <w:t xml:space="preserve">during non-active periods on C-DRX. </w:t>
      </w:r>
    </w:p>
    <w:p w14:paraId="6378C7F7" w14:textId="5D132FBD" w:rsidR="00560D8B" w:rsidRDefault="00560D8B" w:rsidP="00560D8B">
      <w:pPr>
        <w:rPr>
          <w:lang w:eastAsia="zh-CN"/>
        </w:rPr>
      </w:pPr>
      <w:r>
        <w:rPr>
          <w:lang w:eastAsia="zh-CN"/>
        </w:rPr>
        <w:t xml:space="preserve">Since the long discussions in RAN1 and RAN2 both covered all angles of the proposal, we briefly touch on our assessment of the impact of this monitoring once again. </w:t>
      </w:r>
    </w:p>
    <w:p w14:paraId="47218E26" w14:textId="23F7184A" w:rsidR="00560D8B" w:rsidRDefault="00560D8B" w:rsidP="00560D8B">
      <w:pPr>
        <w:pStyle w:val="Heading2"/>
        <w:rPr>
          <w:lang w:eastAsia="zh-CN"/>
        </w:rPr>
      </w:pPr>
      <w:r>
        <w:rPr>
          <w:lang w:eastAsia="zh-CN"/>
        </w:rPr>
        <w:t>UE impact</w:t>
      </w:r>
    </w:p>
    <w:p w14:paraId="174CB38A" w14:textId="13A36346" w:rsidR="005D407A" w:rsidRPr="005D407A" w:rsidRDefault="005D407A" w:rsidP="005D407A">
      <w:pPr>
        <w:pStyle w:val="Heading4"/>
        <w:rPr>
          <w:lang w:eastAsia="zh-CN"/>
        </w:rPr>
      </w:pPr>
      <w:r>
        <w:rPr>
          <w:lang w:eastAsia="zh-CN"/>
        </w:rPr>
        <w:t>Power Considerations</w:t>
      </w:r>
    </w:p>
    <w:p w14:paraId="5BAC6567" w14:textId="77777777" w:rsidR="00560D8B" w:rsidRDefault="00560D8B" w:rsidP="00560D8B"/>
    <w:p w14:paraId="38F447B0" w14:textId="77777777" w:rsidR="00560D8B" w:rsidRDefault="00560D8B" w:rsidP="00560D8B">
      <w:r>
        <w:rPr>
          <w:noProof/>
        </w:rPr>
        <w:drawing>
          <wp:inline distT="0" distB="0" distL="0" distR="0" wp14:anchorId="29D32A3E" wp14:editId="250847CB">
            <wp:extent cx="5791835" cy="1943614"/>
            <wp:effectExtent l="0" t="0" r="0" b="0"/>
            <wp:docPr id="1245826570" name="Picture 1245826570"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826570" name="Picture 1245826570" descr="A diagram of a diagram&#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4967" cy="1971511"/>
                    </a:xfrm>
                    <a:prstGeom prst="rect">
                      <a:avLst/>
                    </a:prstGeom>
                    <a:noFill/>
                  </pic:spPr>
                </pic:pic>
              </a:graphicData>
            </a:graphic>
          </wp:inline>
        </w:drawing>
      </w:r>
    </w:p>
    <w:p w14:paraId="0E6F0EBF" w14:textId="7CCEC64E" w:rsidR="00560D8B" w:rsidRDefault="00560D8B" w:rsidP="00560D8B">
      <w:r>
        <w:lastRenderedPageBreak/>
        <w:t>It is expected that for a single UE, DCI2_9 occasions (which are a per-serving cell configuration common for all UEs in the cell) would occasionally occur outside of UE active time. For example, in the figure above, we take an example where UE C-DRX periodicity (cycle length) is double of that cell DTX. We assume the gNB broadcasts DCI2_9 every cell DTX active period, i.e., half of DCI2_9 occasions occur at the middle of UE off period</w:t>
      </w:r>
      <w:r w:rsidR="00E12040">
        <w:t xml:space="preserve">. One can construct examples where low-traffic UEs have an arbitrary longer C-DRX cycle than that of cell DTX </w:t>
      </w:r>
      <w:r>
        <w:t xml:space="preserve">. In this case, the UE would waste power if it tried to monitor those occasions between UE active times. Furthermore, if the UE CDRX periodicity was much higher (e.g. 4x) that of Cell DTX, UE would have to monitor two DCI2_9 occasions that carry complete redundant information as there is no ON-Duration within these occasions. </w:t>
      </w:r>
    </w:p>
    <w:p w14:paraId="559566C3" w14:textId="7D426B91" w:rsidR="00560D8B" w:rsidRDefault="00560D8B" w:rsidP="00560D8B">
      <w:pPr>
        <w:rPr>
          <w:b/>
          <w:bCs/>
        </w:rPr>
      </w:pPr>
      <w:r w:rsidRPr="00396420">
        <w:rPr>
          <w:b/>
          <w:bCs/>
        </w:rPr>
        <w:t xml:space="preserve">Observation </w:t>
      </w:r>
      <w:r w:rsidR="00E12040">
        <w:rPr>
          <w:b/>
          <w:bCs/>
        </w:rPr>
        <w:t>2</w:t>
      </w:r>
      <w:r w:rsidRPr="00396420">
        <w:rPr>
          <w:b/>
          <w:bCs/>
        </w:rPr>
        <w:t xml:space="preserve">: DCI2_9 occasions will be configured as a function of serving cell total load and may be much more frequent than UE ON-durations. </w:t>
      </w:r>
    </w:p>
    <w:p w14:paraId="193C893A" w14:textId="61A57092" w:rsidR="005D407A" w:rsidRDefault="005D407A" w:rsidP="005D407A">
      <w:pPr>
        <w:pStyle w:val="Heading4"/>
      </w:pPr>
      <w:r>
        <w:t>Implementation and Spec Complexity</w:t>
      </w:r>
    </w:p>
    <w:p w14:paraId="5B42FF39" w14:textId="7812118E" w:rsidR="00E12040" w:rsidRDefault="005D407A" w:rsidP="00560D8B">
      <w:r>
        <w:t xml:space="preserve">Mandating that the UE monitors DCI2_9 outside of C-DRX active time would be akin to generalizing Rel-16 WUS to arbitrary occasions outside of active time. We note that WUS was a whole WI in RAN1/RAN2 that included discussions on the appropriate time offset (ps_Offset), minimum time gap between monitoring DCI2_6 and the start of C-DRX active time and an extensive set of procedures and conditions on monitoring outcomes. This all is related to the associated hardware complexity of waking-up the UE to monitor a search space without consuming too much UE power. Given that the WI is closed in RAN1/RAN2, there is no time to appropriately assess those considerations </w:t>
      </w:r>
      <w:r w:rsidR="00FE1550">
        <w:t xml:space="preserve">and come up with a working design. </w:t>
      </w:r>
    </w:p>
    <w:p w14:paraId="55F1489B" w14:textId="3691DB41" w:rsidR="00FE1550" w:rsidRDefault="00FE1550" w:rsidP="00560D8B">
      <w:pPr>
        <w:rPr>
          <w:b/>
          <w:bCs/>
        </w:rPr>
      </w:pPr>
      <w:r w:rsidRPr="00133EED">
        <w:rPr>
          <w:b/>
          <w:bCs/>
        </w:rPr>
        <w:t xml:space="preserve">Observation 3: Monitoring DCI2_9 outside C-DRX active time incurs significant implementation and </w:t>
      </w:r>
      <w:r w:rsidR="00133EED">
        <w:rPr>
          <w:b/>
          <w:bCs/>
        </w:rPr>
        <w:t xml:space="preserve">RAN1/RAN2 </w:t>
      </w:r>
      <w:r w:rsidRPr="00133EED">
        <w:rPr>
          <w:b/>
          <w:bCs/>
        </w:rPr>
        <w:t xml:space="preserve">spec. complexity that would need further time to resolve, similar to Rel-16 WUS. </w:t>
      </w:r>
    </w:p>
    <w:p w14:paraId="0C5ECBD3" w14:textId="4C3F53B4" w:rsidR="00133EED" w:rsidRDefault="00133EED" w:rsidP="00133EED">
      <w:pPr>
        <w:pStyle w:val="Heading2"/>
      </w:pPr>
      <w:r>
        <w:t>NW Impact</w:t>
      </w:r>
    </w:p>
    <w:p w14:paraId="7517734D" w14:textId="1D1C0EB3" w:rsidR="00133EED" w:rsidRDefault="00133EED" w:rsidP="00133EED">
      <w:r>
        <w:t xml:space="preserve">From previous discussions, the concern with limiting monitoring DCI2_9 to C-DRX is that NW may have to repeat DCI2_9 across UE C-DRX active times. However, we think that the rationale behind cell-specific Cell DTX/DRX patterns is to align UEs that have similar traffic requirements across clustered C-DRX cycles. Realistically, we think UEs would be grouped according to their traffic needs across similar C-DRX cycles so we think good network implementation would realistically not send DCI2_9 to every UE, since every UE having a different C-DRX cycle with no possibility of grouping defeats the whole purpose of cell DTX/DRX. Regardless, the power costs of repeating DCI2_9 a few times is not comparable to the UE impact of implementing arbitrary waking up to receive DCI2_9. </w:t>
      </w:r>
    </w:p>
    <w:p w14:paraId="5EA7D463" w14:textId="668AFD82" w:rsidR="00133EED" w:rsidRDefault="00133EED" w:rsidP="00133EED">
      <w:pPr>
        <w:rPr>
          <w:b/>
          <w:bCs/>
        </w:rPr>
      </w:pPr>
      <w:r w:rsidRPr="00D717C7">
        <w:rPr>
          <w:b/>
          <w:bCs/>
        </w:rPr>
        <w:t>Observation 4: NW impact from repeating DCI2_9 (de)activation signalling across different UE groups C-DRX active time is limited from a NES pov when compa</w:t>
      </w:r>
      <w:r w:rsidR="00D717C7" w:rsidRPr="00D717C7">
        <w:rPr>
          <w:b/>
          <w:bCs/>
        </w:rPr>
        <w:t>r</w:t>
      </w:r>
      <w:r w:rsidRPr="00D717C7">
        <w:rPr>
          <w:b/>
          <w:bCs/>
        </w:rPr>
        <w:t>ed</w:t>
      </w:r>
      <w:r w:rsidR="00D717C7" w:rsidRPr="00D717C7">
        <w:rPr>
          <w:b/>
          <w:bCs/>
        </w:rPr>
        <w:t xml:space="preserve"> to UE power impact if it must monitor outside of C-DRX active time. </w:t>
      </w:r>
    </w:p>
    <w:p w14:paraId="2838A29D" w14:textId="21B279BB" w:rsidR="00D717C7" w:rsidRDefault="00D717C7" w:rsidP="00133EED">
      <w:r>
        <w:t>This reasoning leads us to reiterate our earlier position on the issue:</w:t>
      </w:r>
    </w:p>
    <w:p w14:paraId="0EFB4C00" w14:textId="795EB948" w:rsidR="00D717C7" w:rsidRPr="00D717C7" w:rsidRDefault="00D717C7" w:rsidP="00D717C7">
      <w:pPr>
        <w:pStyle w:val="ListParagraph"/>
        <w:overflowPunct w:val="0"/>
        <w:ind w:left="0"/>
        <w:rPr>
          <w:rFonts w:ascii="Calibri" w:hAnsi="Calibri"/>
          <w:b/>
          <w:bCs/>
          <w:sz w:val="22"/>
          <w:szCs w:val="22"/>
          <w:lang w:eastAsia="zh-CN"/>
          <w14:ligatures w14:val="standardContextual"/>
        </w:rPr>
      </w:pPr>
      <w:r w:rsidRPr="00D717C7">
        <w:rPr>
          <w:b/>
          <w:bCs/>
        </w:rPr>
        <w:t xml:space="preserve">Proposal 1: </w:t>
      </w:r>
      <w:r w:rsidRPr="00D717C7">
        <w:rPr>
          <w:b/>
          <w:bCs/>
          <w:lang w:eastAsia="zh-CN"/>
        </w:rPr>
        <w:t xml:space="preserve">UE is expected to monitor DCI format 2_9 during active </w:t>
      </w:r>
      <w:r w:rsidR="00827AA0">
        <w:rPr>
          <w:b/>
          <w:bCs/>
          <w:lang w:eastAsia="zh-CN"/>
        </w:rPr>
        <w:t xml:space="preserve">time </w:t>
      </w:r>
      <w:r w:rsidRPr="00D717C7">
        <w:rPr>
          <w:b/>
          <w:bCs/>
          <w:lang w:eastAsia="zh-CN"/>
        </w:rPr>
        <w:t>of C-DRX</w:t>
      </w:r>
      <w:r>
        <w:rPr>
          <w:b/>
          <w:bCs/>
          <w:lang w:eastAsia="zh-CN"/>
        </w:rPr>
        <w:t xml:space="preserve"> only. </w:t>
      </w:r>
    </w:p>
    <w:p w14:paraId="055AB23B" w14:textId="605AA4C3" w:rsidR="00D717C7" w:rsidRDefault="00D717C7" w:rsidP="00D717C7">
      <w:pPr>
        <w:pStyle w:val="Heading1"/>
      </w:pPr>
      <w:r>
        <w:t>Support for sTRP only</w:t>
      </w:r>
    </w:p>
    <w:p w14:paraId="1C05C03B" w14:textId="4EE46F49" w:rsidR="00D717C7" w:rsidRDefault="00D717C7" w:rsidP="00D717C7">
      <w:r>
        <w:t>RAN1 has sent the following LS to RAN2 after the last meeting:</w:t>
      </w:r>
    </w:p>
    <w:tbl>
      <w:tblPr>
        <w:tblStyle w:val="TableGrid"/>
        <w:tblW w:w="0" w:type="auto"/>
        <w:tblLook w:val="04A0" w:firstRow="1" w:lastRow="0" w:firstColumn="1" w:lastColumn="0" w:noHBand="0" w:noVBand="1"/>
      </w:tblPr>
      <w:tblGrid>
        <w:gridCol w:w="9631"/>
      </w:tblGrid>
      <w:tr w:rsidR="00D717C7" w14:paraId="40C7146D" w14:textId="77777777" w:rsidTr="00D717C7">
        <w:tc>
          <w:tcPr>
            <w:tcW w:w="9631" w:type="dxa"/>
          </w:tcPr>
          <w:p w14:paraId="306775C3" w14:textId="77777777" w:rsidR="00D717C7" w:rsidRPr="001119D7" w:rsidRDefault="00D717C7" w:rsidP="00D717C7">
            <w:pPr>
              <w:rPr>
                <w:rFonts w:ascii="Arial" w:hAnsi="Arial" w:cs="Arial"/>
                <w:lang w:eastAsia="ja-JP"/>
              </w:rPr>
            </w:pPr>
            <w:r w:rsidRPr="001119D7">
              <w:rPr>
                <w:rFonts w:ascii="Arial" w:hAnsi="Arial" w:cs="Arial"/>
                <w:lang w:eastAsia="ja-JP"/>
              </w:rPr>
              <w:t>RAN1 has discussed the topic of Cell DTX/DRX operation with single-TRP and single/multi-DCI multi-TRP and made the following agreement.</w:t>
            </w:r>
          </w:p>
          <w:p w14:paraId="0C1D7D5B" w14:textId="77777777" w:rsidR="00D717C7" w:rsidRPr="001119D7" w:rsidRDefault="00D717C7" w:rsidP="00D717C7">
            <w:pPr>
              <w:pStyle w:val="ListParagraph"/>
              <w:numPr>
                <w:ilvl w:val="0"/>
                <w:numId w:val="22"/>
              </w:numPr>
              <w:overflowPunct w:val="0"/>
              <w:autoSpaceDE w:val="0"/>
              <w:autoSpaceDN w:val="0"/>
              <w:adjustRightInd w:val="0"/>
              <w:textAlignment w:val="baseline"/>
              <w:rPr>
                <w:rFonts w:ascii="Arial" w:hAnsi="Arial" w:cs="Arial"/>
                <w:lang w:eastAsia="ja-JP"/>
              </w:rPr>
            </w:pPr>
            <w:r w:rsidRPr="001119D7">
              <w:rPr>
                <w:rFonts w:ascii="Arial" w:hAnsi="Arial" w:cs="Arial"/>
                <w:lang w:eastAsia="ja-JP"/>
              </w:rPr>
              <w:t>Cell DTX/DRX operation is only supported for sTRP.</w:t>
            </w:r>
          </w:p>
          <w:p w14:paraId="625EB26C" w14:textId="77777777" w:rsidR="00D717C7" w:rsidRPr="001119D7" w:rsidRDefault="00D717C7" w:rsidP="00D717C7">
            <w:pPr>
              <w:rPr>
                <w:rFonts w:ascii="Arial" w:hAnsi="Arial" w:cs="Arial"/>
                <w:lang w:eastAsia="ja-JP"/>
              </w:rPr>
            </w:pPr>
            <w:r w:rsidRPr="001119D7">
              <w:rPr>
                <w:rFonts w:ascii="Arial" w:hAnsi="Arial" w:cs="Arial"/>
                <w:lang w:eastAsia="ja-JP"/>
              </w:rPr>
              <w:t>RAN1 notes that it is up to RAN2 to decide whether/how to capture the above agreement in RAN2 specifications.</w:t>
            </w:r>
          </w:p>
          <w:p w14:paraId="3A93523F" w14:textId="5B6A1C17" w:rsidR="00D717C7" w:rsidRPr="00D717C7" w:rsidRDefault="00D717C7" w:rsidP="00D717C7">
            <w:pPr>
              <w:rPr>
                <w:rFonts w:ascii="Arial" w:hAnsi="Arial" w:cs="Arial"/>
                <w:lang w:eastAsia="ja-JP"/>
              </w:rPr>
            </w:pPr>
            <w:r w:rsidRPr="001119D7">
              <w:rPr>
                <w:rFonts w:ascii="Arial" w:hAnsi="Arial" w:cs="Arial"/>
                <w:lang w:eastAsia="ja-JP"/>
              </w:rPr>
              <w:t xml:space="preserve">RAN1 respectfully asks RAN2 to consider the above. </w:t>
            </w:r>
          </w:p>
        </w:tc>
      </w:tr>
    </w:tbl>
    <w:p w14:paraId="3EE68914" w14:textId="77777777" w:rsidR="00D717C7" w:rsidRDefault="00D717C7" w:rsidP="00D717C7"/>
    <w:p w14:paraId="5A36C907" w14:textId="62D58D89" w:rsidR="00D717C7" w:rsidRDefault="00D717C7" w:rsidP="00D717C7">
      <w:r>
        <w:t xml:space="preserve">We did not identify specific RAN2 impact from RAN1 newly introduced limitations from cell DTX/DRX applications, however, field descriptions or UE </w:t>
      </w:r>
      <w:r w:rsidR="00E27FAD">
        <w:t xml:space="preserve">feature list </w:t>
      </w:r>
      <w:r w:rsidR="00827AA0">
        <w:t>descriptions</w:t>
      </w:r>
      <w:r>
        <w:t xml:space="preserve"> may be further refined to clarify the cell DTX/DRX deployment scenarios</w:t>
      </w:r>
      <w:r w:rsidR="00E27FAD">
        <w:t xml:space="preserve"> limitation</w:t>
      </w:r>
      <w:r>
        <w:t xml:space="preserve">. </w:t>
      </w:r>
    </w:p>
    <w:p w14:paraId="69B2BA87" w14:textId="7ED1D708" w:rsidR="00E27FAD" w:rsidRPr="00EC04D1" w:rsidRDefault="00E27FAD" w:rsidP="00D717C7">
      <w:pPr>
        <w:rPr>
          <w:b/>
          <w:bCs/>
        </w:rPr>
      </w:pPr>
      <w:r w:rsidRPr="00E27FAD">
        <w:rPr>
          <w:b/>
          <w:bCs/>
        </w:rPr>
        <w:lastRenderedPageBreak/>
        <w:t>Proposal 2: No procedural impact identified due to RAN1 guidance on limiting cell DTX/DRX support to sTRP. However, field description of cell DTX/DRX and/or UE feature list related to cell DTX/DRX can further clarify this limitation.</w:t>
      </w:r>
    </w:p>
    <w:p w14:paraId="0E224C59" w14:textId="286FFA00" w:rsidR="0096408F" w:rsidRDefault="0096408F" w:rsidP="00896A70">
      <w:pPr>
        <w:pStyle w:val="Heading1"/>
      </w:pPr>
      <w:r>
        <w:t>Conclusion</w:t>
      </w:r>
    </w:p>
    <w:p w14:paraId="7DF8CB9C" w14:textId="77777777" w:rsidR="00B21456" w:rsidRPr="00560D8B" w:rsidRDefault="00B21456" w:rsidP="00B21456">
      <w:pPr>
        <w:rPr>
          <w:b/>
          <w:bCs/>
          <w:lang w:eastAsia="zh-CN"/>
        </w:rPr>
      </w:pPr>
      <w:r w:rsidRPr="00560D8B">
        <w:rPr>
          <w:b/>
          <w:bCs/>
        </w:rPr>
        <w:t xml:space="preserve">Observation 1: Both RAN1 and RAN2 did not reach a consensus on whether UE is expected to monitor DCI2_9 </w:t>
      </w:r>
      <w:r w:rsidRPr="00560D8B">
        <w:rPr>
          <w:b/>
          <w:bCs/>
          <w:lang w:eastAsia="zh-CN"/>
        </w:rPr>
        <w:t xml:space="preserve">during non-active periods on C-DRX. </w:t>
      </w:r>
    </w:p>
    <w:p w14:paraId="4CA810AA" w14:textId="77777777" w:rsidR="00B21456" w:rsidRDefault="00B21456" w:rsidP="00B21456">
      <w:pPr>
        <w:rPr>
          <w:b/>
          <w:bCs/>
        </w:rPr>
      </w:pPr>
      <w:r w:rsidRPr="00396420">
        <w:rPr>
          <w:b/>
          <w:bCs/>
        </w:rPr>
        <w:t xml:space="preserve">Observation </w:t>
      </w:r>
      <w:r>
        <w:rPr>
          <w:b/>
          <w:bCs/>
        </w:rPr>
        <w:t>2</w:t>
      </w:r>
      <w:r w:rsidRPr="00396420">
        <w:rPr>
          <w:b/>
          <w:bCs/>
        </w:rPr>
        <w:t xml:space="preserve">: DCI2_9 occasions will be configured as a function of serving cell total load and may be much more frequent than UE ON-durations. </w:t>
      </w:r>
    </w:p>
    <w:p w14:paraId="6694204C" w14:textId="77777777" w:rsidR="00B21456" w:rsidRDefault="00B21456" w:rsidP="00B21456">
      <w:pPr>
        <w:rPr>
          <w:b/>
          <w:bCs/>
        </w:rPr>
      </w:pPr>
      <w:r w:rsidRPr="00133EED">
        <w:rPr>
          <w:b/>
          <w:bCs/>
        </w:rPr>
        <w:t xml:space="preserve">Observation 3: Monitoring DCI2_9 outside C-DRX active time incurs significant implementation and </w:t>
      </w:r>
      <w:r>
        <w:rPr>
          <w:b/>
          <w:bCs/>
        </w:rPr>
        <w:t xml:space="preserve">RAN1/RAN2 </w:t>
      </w:r>
      <w:r w:rsidRPr="00133EED">
        <w:rPr>
          <w:b/>
          <w:bCs/>
        </w:rPr>
        <w:t xml:space="preserve">spec. complexity that would need further time to resolve, similar to Rel-16 WUS. </w:t>
      </w:r>
    </w:p>
    <w:p w14:paraId="5BA7FBF1" w14:textId="77777777" w:rsidR="00B21456" w:rsidRDefault="00B21456" w:rsidP="00B21456">
      <w:pPr>
        <w:rPr>
          <w:b/>
          <w:bCs/>
        </w:rPr>
      </w:pPr>
      <w:r w:rsidRPr="00D717C7">
        <w:rPr>
          <w:b/>
          <w:bCs/>
        </w:rPr>
        <w:t xml:space="preserve">Observation 4: NW impact from repeating DCI2_9 (de)activation signalling across different UE groups C-DRX active time is limited from a NES pov when compared to UE power impact if it must monitor outside of C-DRX active time. </w:t>
      </w:r>
    </w:p>
    <w:p w14:paraId="567941D0" w14:textId="057D81A5" w:rsidR="00B21456" w:rsidRPr="00D717C7" w:rsidRDefault="00B21456" w:rsidP="00B21456">
      <w:pPr>
        <w:pStyle w:val="ListParagraph"/>
        <w:overflowPunct w:val="0"/>
        <w:ind w:left="0"/>
        <w:rPr>
          <w:rFonts w:ascii="Calibri" w:hAnsi="Calibri"/>
          <w:b/>
          <w:bCs/>
          <w:sz w:val="22"/>
          <w:szCs w:val="22"/>
          <w:lang w:eastAsia="zh-CN"/>
          <w14:ligatures w14:val="standardContextual"/>
        </w:rPr>
      </w:pPr>
      <w:r w:rsidRPr="00D717C7">
        <w:rPr>
          <w:b/>
          <w:bCs/>
        </w:rPr>
        <w:t xml:space="preserve">Proposal 1: </w:t>
      </w:r>
      <w:r w:rsidRPr="00D717C7">
        <w:rPr>
          <w:b/>
          <w:bCs/>
          <w:lang w:eastAsia="zh-CN"/>
        </w:rPr>
        <w:t xml:space="preserve">UE is expected to monitor DCI format 2_9 during active </w:t>
      </w:r>
      <w:r w:rsidR="00827AA0">
        <w:rPr>
          <w:b/>
          <w:bCs/>
          <w:lang w:eastAsia="zh-CN"/>
        </w:rPr>
        <w:t>time</w:t>
      </w:r>
      <w:r w:rsidRPr="00D717C7">
        <w:rPr>
          <w:b/>
          <w:bCs/>
          <w:lang w:eastAsia="zh-CN"/>
        </w:rPr>
        <w:t xml:space="preserve"> of C-DRX</w:t>
      </w:r>
      <w:r>
        <w:rPr>
          <w:b/>
          <w:bCs/>
          <w:lang w:eastAsia="zh-CN"/>
        </w:rPr>
        <w:t xml:space="preserve"> only. </w:t>
      </w:r>
    </w:p>
    <w:p w14:paraId="04DEACAC" w14:textId="77777777" w:rsidR="00B21456" w:rsidRPr="00E27FAD" w:rsidRDefault="00B21456" w:rsidP="00B21456">
      <w:pPr>
        <w:rPr>
          <w:b/>
          <w:bCs/>
        </w:rPr>
      </w:pPr>
      <w:r w:rsidRPr="00E27FAD">
        <w:rPr>
          <w:b/>
          <w:bCs/>
        </w:rPr>
        <w:t>Proposal 2: No procedural impact identified due to RAN1 guidance on limiting cell DTX/DRX support to sTRP. However, field description of cell DTX/DRX and/or UE feature list related to cell DTX/DRX can further clarify this limitation.</w:t>
      </w:r>
    </w:p>
    <w:p w14:paraId="7F9A5B2E" w14:textId="2E50C18E" w:rsidR="00CD4C7B" w:rsidRPr="00320A6B" w:rsidRDefault="00430C8D" w:rsidP="00CD4C7B">
      <w:pPr>
        <w:pStyle w:val="Heading1"/>
      </w:pPr>
      <w:r>
        <w:t>ss</w:t>
      </w:r>
      <w:r w:rsidR="00CD4C7B" w:rsidRPr="00320A6B">
        <w:t>References</w:t>
      </w:r>
    </w:p>
    <w:p w14:paraId="27E31106" w14:textId="2906D126" w:rsidR="00F26A41" w:rsidRDefault="00B21456" w:rsidP="0085097F">
      <w:pPr>
        <w:pStyle w:val="References"/>
        <w:numPr>
          <w:ilvl w:val="0"/>
          <w:numId w:val="5"/>
        </w:numPr>
        <w:tabs>
          <w:tab w:val="clear" w:pos="567"/>
        </w:tabs>
        <w:autoSpaceDE/>
        <w:autoSpaceDN/>
        <w:snapToGrid/>
        <w:spacing w:after="120"/>
      </w:pPr>
      <w:r>
        <w:t>RAN2 #124 Chair notes</w:t>
      </w:r>
    </w:p>
    <w:p w14:paraId="5BFA7C35" w14:textId="7B0CFEA8" w:rsidR="00911879" w:rsidRDefault="00B21456" w:rsidP="0085097F">
      <w:pPr>
        <w:pStyle w:val="References"/>
        <w:numPr>
          <w:ilvl w:val="0"/>
          <w:numId w:val="5"/>
        </w:numPr>
        <w:tabs>
          <w:tab w:val="clear" w:pos="567"/>
        </w:tabs>
        <w:autoSpaceDE/>
        <w:autoSpaceDN/>
        <w:snapToGrid/>
        <w:spacing w:after="120"/>
      </w:pPr>
      <w:r>
        <w:t>RAN1 #115 Chair Notes</w:t>
      </w:r>
    </w:p>
    <w:p w14:paraId="2A3C7399" w14:textId="77B217C3" w:rsidR="00713C82" w:rsidRPr="00B21456" w:rsidRDefault="00B21456" w:rsidP="00B21456">
      <w:pPr>
        <w:pStyle w:val="References"/>
        <w:numPr>
          <w:ilvl w:val="0"/>
          <w:numId w:val="5"/>
        </w:numPr>
        <w:tabs>
          <w:tab w:val="clear" w:pos="567"/>
        </w:tabs>
        <w:spacing w:after="120"/>
        <w:rPr>
          <w:rFonts w:eastAsiaTheme="minorEastAsia"/>
          <w:szCs w:val="20"/>
          <w:lang w:val="de-DE"/>
        </w:rPr>
      </w:pPr>
      <w:r w:rsidRPr="00B21456">
        <w:rPr>
          <w:rFonts w:eastAsiaTheme="minorEastAsia"/>
          <w:szCs w:val="20"/>
          <w:lang w:val="de-DE"/>
        </w:rPr>
        <w:t>R1- 2312409</w:t>
      </w:r>
      <w:r>
        <w:rPr>
          <w:rFonts w:eastAsiaTheme="minorEastAsia"/>
          <w:szCs w:val="20"/>
          <w:lang w:val="de-DE"/>
        </w:rPr>
        <w:t xml:space="preserve">: </w:t>
      </w:r>
      <w:r w:rsidRPr="00B21456">
        <w:rPr>
          <w:rFonts w:eastAsiaTheme="minorEastAsia"/>
          <w:szCs w:val="20"/>
          <w:lang w:val="de-DE"/>
        </w:rPr>
        <w:t>LS on Cell DTX/DRX operations for sTRP</w:t>
      </w:r>
    </w:p>
    <w:sectPr w:rsidR="00713C82" w:rsidRPr="00B214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41F02" w14:textId="77777777" w:rsidR="00476050" w:rsidRDefault="00476050">
      <w:r>
        <w:separator/>
      </w:r>
    </w:p>
  </w:endnote>
  <w:endnote w:type="continuationSeparator" w:id="0">
    <w:p w14:paraId="0315193A" w14:textId="77777777" w:rsidR="00476050" w:rsidRDefault="00476050">
      <w:r>
        <w:continuationSeparator/>
      </w:r>
    </w:p>
  </w:endnote>
  <w:endnote w:type="continuationNotice" w:id="1">
    <w:p w14:paraId="443DA79D" w14:textId="77777777" w:rsidR="00476050" w:rsidRDefault="00476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A95E" w14:textId="77777777" w:rsidR="00476050" w:rsidRDefault="00476050">
      <w:r>
        <w:separator/>
      </w:r>
    </w:p>
  </w:footnote>
  <w:footnote w:type="continuationSeparator" w:id="0">
    <w:p w14:paraId="1873FC1C" w14:textId="77777777" w:rsidR="00476050" w:rsidRDefault="00476050">
      <w:r>
        <w:continuationSeparator/>
      </w:r>
    </w:p>
  </w:footnote>
  <w:footnote w:type="continuationNotice" w:id="1">
    <w:p w14:paraId="4BE4EDA5" w14:textId="77777777" w:rsidR="00476050" w:rsidRDefault="00476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917FC"/>
    <w:multiLevelType w:val="hybridMultilevel"/>
    <w:tmpl w:val="82708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01DDE"/>
    <w:multiLevelType w:val="hybridMultilevel"/>
    <w:tmpl w:val="4FCA69AE"/>
    <w:lvl w:ilvl="0" w:tplc="C4A4596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B82558"/>
    <w:multiLevelType w:val="hybridMultilevel"/>
    <w:tmpl w:val="A792109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229381B"/>
    <w:multiLevelType w:val="hybridMultilevel"/>
    <w:tmpl w:val="5A60AA6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77F6C1C"/>
    <w:multiLevelType w:val="hybridMultilevel"/>
    <w:tmpl w:val="704A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756931"/>
    <w:multiLevelType w:val="hybridMultilevel"/>
    <w:tmpl w:val="7F4E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C5296"/>
    <w:multiLevelType w:val="hybridMultilevel"/>
    <w:tmpl w:val="1A6A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850D0"/>
    <w:multiLevelType w:val="hybridMultilevel"/>
    <w:tmpl w:val="1E809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8D7210"/>
    <w:multiLevelType w:val="hybridMultilevel"/>
    <w:tmpl w:val="30D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03574"/>
    <w:multiLevelType w:val="hybridMultilevel"/>
    <w:tmpl w:val="40A2F76C"/>
    <w:lvl w:ilvl="0" w:tplc="5C62956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85120B"/>
    <w:multiLevelType w:val="hybridMultilevel"/>
    <w:tmpl w:val="1AD82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D6015"/>
    <w:multiLevelType w:val="hybridMultilevel"/>
    <w:tmpl w:val="056EBE2C"/>
    <w:lvl w:ilvl="0" w:tplc="855A34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C790F27"/>
    <w:multiLevelType w:val="hybridMultilevel"/>
    <w:tmpl w:val="3D30DA1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78150250">
    <w:abstractNumId w:val="19"/>
  </w:num>
  <w:num w:numId="2" w16cid:durableId="1101799896">
    <w:abstractNumId w:val="12"/>
  </w:num>
  <w:num w:numId="3" w16cid:durableId="669144336">
    <w:abstractNumId w:val="17"/>
  </w:num>
  <w:num w:numId="4" w16cid:durableId="41370999">
    <w:abstractNumId w:val="18"/>
  </w:num>
  <w:num w:numId="5" w16cid:durableId="239632339">
    <w:abstractNumId w:val="0"/>
  </w:num>
  <w:num w:numId="6" w16cid:durableId="188422281">
    <w:abstractNumId w:val="8"/>
  </w:num>
  <w:num w:numId="7" w16cid:durableId="956958415">
    <w:abstractNumId w:val="13"/>
  </w:num>
  <w:num w:numId="8" w16cid:durableId="636492830">
    <w:abstractNumId w:val="15"/>
  </w:num>
  <w:num w:numId="9" w16cid:durableId="685211488">
    <w:abstractNumId w:val="10"/>
  </w:num>
  <w:num w:numId="10" w16cid:durableId="1638536299">
    <w:abstractNumId w:val="2"/>
  </w:num>
  <w:num w:numId="11" w16cid:durableId="1662153934">
    <w:abstractNumId w:val="9"/>
  </w:num>
  <w:num w:numId="12" w16cid:durableId="1655793390">
    <w:abstractNumId w:val="1"/>
  </w:num>
  <w:num w:numId="13" w16cid:durableId="338125069">
    <w:abstractNumId w:val="7"/>
  </w:num>
  <w:num w:numId="14" w16cid:durableId="294718131">
    <w:abstractNumId w:val="20"/>
  </w:num>
  <w:num w:numId="15" w16cid:durableId="842864485">
    <w:abstractNumId w:val="16"/>
  </w:num>
  <w:num w:numId="16" w16cid:durableId="529224701">
    <w:abstractNumId w:val="14"/>
  </w:num>
  <w:num w:numId="17" w16cid:durableId="993606205">
    <w:abstractNumId w:val="3"/>
  </w:num>
  <w:num w:numId="18" w16cid:durableId="1922136674">
    <w:abstractNumId w:val="11"/>
  </w:num>
  <w:num w:numId="19" w16cid:durableId="2122727529">
    <w:abstractNumId w:val="21"/>
  </w:num>
  <w:num w:numId="20" w16cid:durableId="1456831023">
    <w:abstractNumId w:val="4"/>
  </w:num>
  <w:num w:numId="21" w16cid:durableId="1790059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172563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A50"/>
    <w:rsid w:val="0000244D"/>
    <w:rsid w:val="000026EB"/>
    <w:rsid w:val="00002973"/>
    <w:rsid w:val="00002EA9"/>
    <w:rsid w:val="00002EEB"/>
    <w:rsid w:val="0000318A"/>
    <w:rsid w:val="0000366F"/>
    <w:rsid w:val="000039F6"/>
    <w:rsid w:val="00003E0D"/>
    <w:rsid w:val="0000401D"/>
    <w:rsid w:val="0000409B"/>
    <w:rsid w:val="00004C66"/>
    <w:rsid w:val="00004F39"/>
    <w:rsid w:val="000064F6"/>
    <w:rsid w:val="00006EBD"/>
    <w:rsid w:val="00006EEB"/>
    <w:rsid w:val="000072BE"/>
    <w:rsid w:val="00007E79"/>
    <w:rsid w:val="00010161"/>
    <w:rsid w:val="00011510"/>
    <w:rsid w:val="0001282D"/>
    <w:rsid w:val="00012887"/>
    <w:rsid w:val="00012C6B"/>
    <w:rsid w:val="00013C23"/>
    <w:rsid w:val="000147A7"/>
    <w:rsid w:val="00014DFA"/>
    <w:rsid w:val="00015097"/>
    <w:rsid w:val="000152D3"/>
    <w:rsid w:val="000159D1"/>
    <w:rsid w:val="0001796A"/>
    <w:rsid w:val="00017AAB"/>
    <w:rsid w:val="00017F39"/>
    <w:rsid w:val="000205D9"/>
    <w:rsid w:val="00020686"/>
    <w:rsid w:val="00021991"/>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1E8B"/>
    <w:rsid w:val="000422D9"/>
    <w:rsid w:val="00042896"/>
    <w:rsid w:val="000429B6"/>
    <w:rsid w:val="0004341F"/>
    <w:rsid w:val="0004395F"/>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080"/>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32E"/>
    <w:rsid w:val="000816BF"/>
    <w:rsid w:val="00082D1A"/>
    <w:rsid w:val="00083D94"/>
    <w:rsid w:val="00083F95"/>
    <w:rsid w:val="00084591"/>
    <w:rsid w:val="0008603C"/>
    <w:rsid w:val="00086758"/>
    <w:rsid w:val="00086904"/>
    <w:rsid w:val="0008762B"/>
    <w:rsid w:val="0008766D"/>
    <w:rsid w:val="00087CC3"/>
    <w:rsid w:val="00087E3D"/>
    <w:rsid w:val="00090401"/>
    <w:rsid w:val="00090468"/>
    <w:rsid w:val="00091368"/>
    <w:rsid w:val="0009199A"/>
    <w:rsid w:val="00092618"/>
    <w:rsid w:val="000926D3"/>
    <w:rsid w:val="00092753"/>
    <w:rsid w:val="00093164"/>
    <w:rsid w:val="000932EC"/>
    <w:rsid w:val="0009381E"/>
    <w:rsid w:val="00093C32"/>
    <w:rsid w:val="00094EEC"/>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631F"/>
    <w:rsid w:val="000A7CC4"/>
    <w:rsid w:val="000A7DFE"/>
    <w:rsid w:val="000B0A05"/>
    <w:rsid w:val="000B0C46"/>
    <w:rsid w:val="000B19D0"/>
    <w:rsid w:val="000B19E9"/>
    <w:rsid w:val="000B2A24"/>
    <w:rsid w:val="000B3EF3"/>
    <w:rsid w:val="000B3F59"/>
    <w:rsid w:val="000B4307"/>
    <w:rsid w:val="000B4398"/>
    <w:rsid w:val="000B4D19"/>
    <w:rsid w:val="000B5156"/>
    <w:rsid w:val="000B7A58"/>
    <w:rsid w:val="000B7BCF"/>
    <w:rsid w:val="000C0524"/>
    <w:rsid w:val="000C0ACF"/>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E2A"/>
    <w:rsid w:val="000D2FEE"/>
    <w:rsid w:val="000D30A2"/>
    <w:rsid w:val="000D3C9D"/>
    <w:rsid w:val="000D449E"/>
    <w:rsid w:val="000D4B3E"/>
    <w:rsid w:val="000D58AB"/>
    <w:rsid w:val="000D63F5"/>
    <w:rsid w:val="000D6AA7"/>
    <w:rsid w:val="000D6B39"/>
    <w:rsid w:val="000D6FEF"/>
    <w:rsid w:val="000D75A4"/>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18B"/>
    <w:rsid w:val="000F6D44"/>
    <w:rsid w:val="000F6E81"/>
    <w:rsid w:val="00100C9C"/>
    <w:rsid w:val="00101232"/>
    <w:rsid w:val="00101BA1"/>
    <w:rsid w:val="00101E78"/>
    <w:rsid w:val="00102287"/>
    <w:rsid w:val="00102DAD"/>
    <w:rsid w:val="00103F08"/>
    <w:rsid w:val="00104080"/>
    <w:rsid w:val="00104704"/>
    <w:rsid w:val="001047D9"/>
    <w:rsid w:val="001056D4"/>
    <w:rsid w:val="001062A5"/>
    <w:rsid w:val="00106455"/>
    <w:rsid w:val="00106F4D"/>
    <w:rsid w:val="00107BEE"/>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DD7"/>
    <w:rsid w:val="00121FB7"/>
    <w:rsid w:val="0012241E"/>
    <w:rsid w:val="001224F1"/>
    <w:rsid w:val="00122700"/>
    <w:rsid w:val="00123A2A"/>
    <w:rsid w:val="00123DB1"/>
    <w:rsid w:val="001241A8"/>
    <w:rsid w:val="00124B3D"/>
    <w:rsid w:val="00125BFD"/>
    <w:rsid w:val="00126209"/>
    <w:rsid w:val="00126D29"/>
    <w:rsid w:val="00127B78"/>
    <w:rsid w:val="00130477"/>
    <w:rsid w:val="00130949"/>
    <w:rsid w:val="00131318"/>
    <w:rsid w:val="00131495"/>
    <w:rsid w:val="001320DB"/>
    <w:rsid w:val="00133EED"/>
    <w:rsid w:val="00134105"/>
    <w:rsid w:val="0013434C"/>
    <w:rsid w:val="00134F91"/>
    <w:rsid w:val="00135C51"/>
    <w:rsid w:val="00135EC2"/>
    <w:rsid w:val="00135EC3"/>
    <w:rsid w:val="00136CFF"/>
    <w:rsid w:val="00137558"/>
    <w:rsid w:val="00137B01"/>
    <w:rsid w:val="00137B44"/>
    <w:rsid w:val="00140C86"/>
    <w:rsid w:val="00141242"/>
    <w:rsid w:val="001437F9"/>
    <w:rsid w:val="0014488C"/>
    <w:rsid w:val="00145075"/>
    <w:rsid w:val="00145BA0"/>
    <w:rsid w:val="00146FB1"/>
    <w:rsid w:val="0014714F"/>
    <w:rsid w:val="0014751F"/>
    <w:rsid w:val="00147B8F"/>
    <w:rsid w:val="0015058A"/>
    <w:rsid w:val="001508FA"/>
    <w:rsid w:val="00150B04"/>
    <w:rsid w:val="00150D4C"/>
    <w:rsid w:val="00151063"/>
    <w:rsid w:val="00151443"/>
    <w:rsid w:val="00151CB5"/>
    <w:rsid w:val="00152357"/>
    <w:rsid w:val="0015367F"/>
    <w:rsid w:val="00153B24"/>
    <w:rsid w:val="00153DBF"/>
    <w:rsid w:val="00154849"/>
    <w:rsid w:val="001568A4"/>
    <w:rsid w:val="00157634"/>
    <w:rsid w:val="0015777C"/>
    <w:rsid w:val="00157B0B"/>
    <w:rsid w:val="00157F36"/>
    <w:rsid w:val="001602A2"/>
    <w:rsid w:val="00160852"/>
    <w:rsid w:val="0016098E"/>
    <w:rsid w:val="00160AF6"/>
    <w:rsid w:val="00160C95"/>
    <w:rsid w:val="00161683"/>
    <w:rsid w:val="001619CF"/>
    <w:rsid w:val="00161E4A"/>
    <w:rsid w:val="001621C0"/>
    <w:rsid w:val="0016224C"/>
    <w:rsid w:val="00163C4E"/>
    <w:rsid w:val="00163CBD"/>
    <w:rsid w:val="00163DF7"/>
    <w:rsid w:val="00163E1F"/>
    <w:rsid w:val="00164D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23E"/>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9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C08"/>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191"/>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2F4"/>
    <w:rsid w:val="002100CC"/>
    <w:rsid w:val="0021282D"/>
    <w:rsid w:val="0021353E"/>
    <w:rsid w:val="002135CA"/>
    <w:rsid w:val="002138DD"/>
    <w:rsid w:val="00214415"/>
    <w:rsid w:val="00214E95"/>
    <w:rsid w:val="00215774"/>
    <w:rsid w:val="00215A44"/>
    <w:rsid w:val="00215C7D"/>
    <w:rsid w:val="00216471"/>
    <w:rsid w:val="002166BB"/>
    <w:rsid w:val="00216FA7"/>
    <w:rsid w:val="002201C1"/>
    <w:rsid w:val="002209BB"/>
    <w:rsid w:val="002218AC"/>
    <w:rsid w:val="00221DC7"/>
    <w:rsid w:val="00221E06"/>
    <w:rsid w:val="00221F6C"/>
    <w:rsid w:val="00222AF0"/>
    <w:rsid w:val="002236E3"/>
    <w:rsid w:val="00223AD3"/>
    <w:rsid w:val="00224198"/>
    <w:rsid w:val="002244A9"/>
    <w:rsid w:val="00224580"/>
    <w:rsid w:val="00225498"/>
    <w:rsid w:val="0022589F"/>
    <w:rsid w:val="002258C3"/>
    <w:rsid w:val="0022606D"/>
    <w:rsid w:val="00226347"/>
    <w:rsid w:val="002265F3"/>
    <w:rsid w:val="002270E3"/>
    <w:rsid w:val="002311F1"/>
    <w:rsid w:val="0023299D"/>
    <w:rsid w:val="00232EA2"/>
    <w:rsid w:val="00233196"/>
    <w:rsid w:val="0023340F"/>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6EFB"/>
    <w:rsid w:val="002470DA"/>
    <w:rsid w:val="00247B92"/>
    <w:rsid w:val="00247F47"/>
    <w:rsid w:val="002507BD"/>
    <w:rsid w:val="00250812"/>
    <w:rsid w:val="00250B04"/>
    <w:rsid w:val="00250E5D"/>
    <w:rsid w:val="002524D2"/>
    <w:rsid w:val="00253640"/>
    <w:rsid w:val="00253EB4"/>
    <w:rsid w:val="0025406F"/>
    <w:rsid w:val="002541AB"/>
    <w:rsid w:val="00254721"/>
    <w:rsid w:val="00254A27"/>
    <w:rsid w:val="00255799"/>
    <w:rsid w:val="0025639A"/>
    <w:rsid w:val="00256B66"/>
    <w:rsid w:val="00257A49"/>
    <w:rsid w:val="00260AE7"/>
    <w:rsid w:val="00261860"/>
    <w:rsid w:val="00262113"/>
    <w:rsid w:val="00262A9D"/>
    <w:rsid w:val="00262CB8"/>
    <w:rsid w:val="00262CDC"/>
    <w:rsid w:val="00262EDD"/>
    <w:rsid w:val="00263BBA"/>
    <w:rsid w:val="00265490"/>
    <w:rsid w:val="00266149"/>
    <w:rsid w:val="0026614D"/>
    <w:rsid w:val="00266654"/>
    <w:rsid w:val="00267147"/>
    <w:rsid w:val="0027053F"/>
    <w:rsid w:val="00270F19"/>
    <w:rsid w:val="0027112D"/>
    <w:rsid w:val="002711A3"/>
    <w:rsid w:val="00271E30"/>
    <w:rsid w:val="00271E96"/>
    <w:rsid w:val="00271F03"/>
    <w:rsid w:val="0027207B"/>
    <w:rsid w:val="00272C79"/>
    <w:rsid w:val="00273961"/>
    <w:rsid w:val="002740F0"/>
    <w:rsid w:val="00274344"/>
    <w:rsid w:val="0027479D"/>
    <w:rsid w:val="002747EC"/>
    <w:rsid w:val="00274E85"/>
    <w:rsid w:val="00275202"/>
    <w:rsid w:val="0027537D"/>
    <w:rsid w:val="00275A13"/>
    <w:rsid w:val="0027640C"/>
    <w:rsid w:val="002766E6"/>
    <w:rsid w:val="0027697F"/>
    <w:rsid w:val="0027700B"/>
    <w:rsid w:val="002779A1"/>
    <w:rsid w:val="002805EC"/>
    <w:rsid w:val="00280F5B"/>
    <w:rsid w:val="00280F80"/>
    <w:rsid w:val="0028154D"/>
    <w:rsid w:val="00281980"/>
    <w:rsid w:val="00281AA7"/>
    <w:rsid w:val="00281EB6"/>
    <w:rsid w:val="00281FEF"/>
    <w:rsid w:val="002828C0"/>
    <w:rsid w:val="00282E6B"/>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3550"/>
    <w:rsid w:val="002A4338"/>
    <w:rsid w:val="002A43C4"/>
    <w:rsid w:val="002A4AD1"/>
    <w:rsid w:val="002A4F3D"/>
    <w:rsid w:val="002A5E9F"/>
    <w:rsid w:val="002A5FEE"/>
    <w:rsid w:val="002A6AED"/>
    <w:rsid w:val="002A703E"/>
    <w:rsid w:val="002A717B"/>
    <w:rsid w:val="002B0A23"/>
    <w:rsid w:val="002B13F4"/>
    <w:rsid w:val="002B17AD"/>
    <w:rsid w:val="002B1CCD"/>
    <w:rsid w:val="002B1CFD"/>
    <w:rsid w:val="002B1E0A"/>
    <w:rsid w:val="002B4AC3"/>
    <w:rsid w:val="002B69DE"/>
    <w:rsid w:val="002B6D0C"/>
    <w:rsid w:val="002B6EAF"/>
    <w:rsid w:val="002B7133"/>
    <w:rsid w:val="002C0C03"/>
    <w:rsid w:val="002C0FC3"/>
    <w:rsid w:val="002C15BD"/>
    <w:rsid w:val="002C2193"/>
    <w:rsid w:val="002C2A8E"/>
    <w:rsid w:val="002C3919"/>
    <w:rsid w:val="002C4170"/>
    <w:rsid w:val="002C6EDD"/>
    <w:rsid w:val="002C708A"/>
    <w:rsid w:val="002C7D19"/>
    <w:rsid w:val="002D00E1"/>
    <w:rsid w:val="002D0F7A"/>
    <w:rsid w:val="002D10D9"/>
    <w:rsid w:val="002D13BC"/>
    <w:rsid w:val="002D2A97"/>
    <w:rsid w:val="002D2AB9"/>
    <w:rsid w:val="002D325D"/>
    <w:rsid w:val="002D32F7"/>
    <w:rsid w:val="002D4340"/>
    <w:rsid w:val="002D43C3"/>
    <w:rsid w:val="002D46BF"/>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426"/>
    <w:rsid w:val="002F0D22"/>
    <w:rsid w:val="002F1ED3"/>
    <w:rsid w:val="002F229B"/>
    <w:rsid w:val="002F267E"/>
    <w:rsid w:val="002F3B8A"/>
    <w:rsid w:val="002F3C58"/>
    <w:rsid w:val="002F4752"/>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2EF"/>
    <w:rsid w:val="00322D89"/>
    <w:rsid w:val="00322DA2"/>
    <w:rsid w:val="00324D12"/>
    <w:rsid w:val="00326069"/>
    <w:rsid w:val="00326242"/>
    <w:rsid w:val="00326F0C"/>
    <w:rsid w:val="003273E4"/>
    <w:rsid w:val="00327901"/>
    <w:rsid w:val="003309E6"/>
    <w:rsid w:val="00331D99"/>
    <w:rsid w:val="0033250E"/>
    <w:rsid w:val="00333F73"/>
    <w:rsid w:val="00335983"/>
    <w:rsid w:val="00335FA2"/>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133"/>
    <w:rsid w:val="003536D9"/>
    <w:rsid w:val="00353EFF"/>
    <w:rsid w:val="003543AB"/>
    <w:rsid w:val="0035462D"/>
    <w:rsid w:val="00354B60"/>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428"/>
    <w:rsid w:val="003664F7"/>
    <w:rsid w:val="00366F41"/>
    <w:rsid w:val="0036720B"/>
    <w:rsid w:val="003673FE"/>
    <w:rsid w:val="003678D6"/>
    <w:rsid w:val="00370627"/>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96420"/>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21D"/>
    <w:rsid w:val="003C1668"/>
    <w:rsid w:val="003C1BCC"/>
    <w:rsid w:val="003C2271"/>
    <w:rsid w:val="003C3EB7"/>
    <w:rsid w:val="003C48BC"/>
    <w:rsid w:val="003C4E14"/>
    <w:rsid w:val="003C4E37"/>
    <w:rsid w:val="003C4E48"/>
    <w:rsid w:val="003C5188"/>
    <w:rsid w:val="003C5F91"/>
    <w:rsid w:val="003C6194"/>
    <w:rsid w:val="003C66DE"/>
    <w:rsid w:val="003C7318"/>
    <w:rsid w:val="003C7D4D"/>
    <w:rsid w:val="003C7D85"/>
    <w:rsid w:val="003D0346"/>
    <w:rsid w:val="003D0659"/>
    <w:rsid w:val="003D0698"/>
    <w:rsid w:val="003D0AEF"/>
    <w:rsid w:val="003D0E10"/>
    <w:rsid w:val="003D10FF"/>
    <w:rsid w:val="003D140F"/>
    <w:rsid w:val="003D1590"/>
    <w:rsid w:val="003D159B"/>
    <w:rsid w:val="003D17ED"/>
    <w:rsid w:val="003D2286"/>
    <w:rsid w:val="003D2B58"/>
    <w:rsid w:val="003D2C5B"/>
    <w:rsid w:val="003D3F2A"/>
    <w:rsid w:val="003D3FB5"/>
    <w:rsid w:val="003D561D"/>
    <w:rsid w:val="003D6072"/>
    <w:rsid w:val="003D65DC"/>
    <w:rsid w:val="003D6F35"/>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32C7"/>
    <w:rsid w:val="00403568"/>
    <w:rsid w:val="0040363B"/>
    <w:rsid w:val="00405264"/>
    <w:rsid w:val="00405800"/>
    <w:rsid w:val="00406B77"/>
    <w:rsid w:val="00406E13"/>
    <w:rsid w:val="00407D3D"/>
    <w:rsid w:val="00407DAD"/>
    <w:rsid w:val="00410137"/>
    <w:rsid w:val="00410637"/>
    <w:rsid w:val="00410FDA"/>
    <w:rsid w:val="004123E8"/>
    <w:rsid w:val="00412662"/>
    <w:rsid w:val="0041296E"/>
    <w:rsid w:val="00413147"/>
    <w:rsid w:val="00413470"/>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0FB8"/>
    <w:rsid w:val="00421A80"/>
    <w:rsid w:val="004223D5"/>
    <w:rsid w:val="00422461"/>
    <w:rsid w:val="0042394C"/>
    <w:rsid w:val="0042472B"/>
    <w:rsid w:val="004248F5"/>
    <w:rsid w:val="004265A3"/>
    <w:rsid w:val="0042683C"/>
    <w:rsid w:val="004269D0"/>
    <w:rsid w:val="004275A9"/>
    <w:rsid w:val="004301C1"/>
    <w:rsid w:val="0043027D"/>
    <w:rsid w:val="0043056E"/>
    <w:rsid w:val="00430C8D"/>
    <w:rsid w:val="00430D92"/>
    <w:rsid w:val="004316D5"/>
    <w:rsid w:val="00431B58"/>
    <w:rsid w:val="0043210E"/>
    <w:rsid w:val="004325A5"/>
    <w:rsid w:val="00432F0C"/>
    <w:rsid w:val="0043393F"/>
    <w:rsid w:val="00435311"/>
    <w:rsid w:val="004356CA"/>
    <w:rsid w:val="00435ADE"/>
    <w:rsid w:val="00435C67"/>
    <w:rsid w:val="004378F1"/>
    <w:rsid w:val="00437E0C"/>
    <w:rsid w:val="004403E6"/>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3F11"/>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53"/>
    <w:rsid w:val="00466DF8"/>
    <w:rsid w:val="00467075"/>
    <w:rsid w:val="004672EE"/>
    <w:rsid w:val="00470F30"/>
    <w:rsid w:val="00471CDE"/>
    <w:rsid w:val="0047216C"/>
    <w:rsid w:val="0047331C"/>
    <w:rsid w:val="00474C33"/>
    <w:rsid w:val="0047536C"/>
    <w:rsid w:val="0047572B"/>
    <w:rsid w:val="00476050"/>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4346"/>
    <w:rsid w:val="0049656C"/>
    <w:rsid w:val="004969B6"/>
    <w:rsid w:val="004972DD"/>
    <w:rsid w:val="00497994"/>
    <w:rsid w:val="00497C56"/>
    <w:rsid w:val="004A00FD"/>
    <w:rsid w:val="004A0319"/>
    <w:rsid w:val="004A03FB"/>
    <w:rsid w:val="004A07E9"/>
    <w:rsid w:val="004A0D15"/>
    <w:rsid w:val="004A1D1B"/>
    <w:rsid w:val="004A2B72"/>
    <w:rsid w:val="004A32F3"/>
    <w:rsid w:val="004A40FB"/>
    <w:rsid w:val="004A43F6"/>
    <w:rsid w:val="004A4700"/>
    <w:rsid w:val="004A51CD"/>
    <w:rsid w:val="004A5853"/>
    <w:rsid w:val="004A59FA"/>
    <w:rsid w:val="004A68F4"/>
    <w:rsid w:val="004A7DA4"/>
    <w:rsid w:val="004B1194"/>
    <w:rsid w:val="004B169E"/>
    <w:rsid w:val="004B1F04"/>
    <w:rsid w:val="004B2030"/>
    <w:rsid w:val="004B20E3"/>
    <w:rsid w:val="004B35A2"/>
    <w:rsid w:val="004B3618"/>
    <w:rsid w:val="004B39DD"/>
    <w:rsid w:val="004B3A98"/>
    <w:rsid w:val="004B3EC2"/>
    <w:rsid w:val="004B41EB"/>
    <w:rsid w:val="004B41F8"/>
    <w:rsid w:val="004B513A"/>
    <w:rsid w:val="004B5CED"/>
    <w:rsid w:val="004B68D7"/>
    <w:rsid w:val="004B6ED9"/>
    <w:rsid w:val="004B7120"/>
    <w:rsid w:val="004B798E"/>
    <w:rsid w:val="004C0CAE"/>
    <w:rsid w:val="004C0E5F"/>
    <w:rsid w:val="004C1531"/>
    <w:rsid w:val="004C1974"/>
    <w:rsid w:val="004C229D"/>
    <w:rsid w:val="004C2E68"/>
    <w:rsid w:val="004C4C8B"/>
    <w:rsid w:val="004C58B3"/>
    <w:rsid w:val="004C5A95"/>
    <w:rsid w:val="004C615D"/>
    <w:rsid w:val="004C655E"/>
    <w:rsid w:val="004C6BCC"/>
    <w:rsid w:val="004C7CA8"/>
    <w:rsid w:val="004C7E7C"/>
    <w:rsid w:val="004D0219"/>
    <w:rsid w:val="004D1DC6"/>
    <w:rsid w:val="004D2B6C"/>
    <w:rsid w:val="004D3578"/>
    <w:rsid w:val="004D380D"/>
    <w:rsid w:val="004D3B46"/>
    <w:rsid w:val="004D3B50"/>
    <w:rsid w:val="004D3B69"/>
    <w:rsid w:val="004D4564"/>
    <w:rsid w:val="004D4A4E"/>
    <w:rsid w:val="004D4B07"/>
    <w:rsid w:val="004D6986"/>
    <w:rsid w:val="004E0B7F"/>
    <w:rsid w:val="004E0C79"/>
    <w:rsid w:val="004E0E22"/>
    <w:rsid w:val="004E1147"/>
    <w:rsid w:val="004E213A"/>
    <w:rsid w:val="004E2917"/>
    <w:rsid w:val="004E383E"/>
    <w:rsid w:val="004E419E"/>
    <w:rsid w:val="004E48C4"/>
    <w:rsid w:val="004E663F"/>
    <w:rsid w:val="004E6967"/>
    <w:rsid w:val="004E6A6C"/>
    <w:rsid w:val="004E7433"/>
    <w:rsid w:val="004E7D8F"/>
    <w:rsid w:val="004F012B"/>
    <w:rsid w:val="004F0DE1"/>
    <w:rsid w:val="004F0F3A"/>
    <w:rsid w:val="004F10A5"/>
    <w:rsid w:val="004F156A"/>
    <w:rsid w:val="004F2463"/>
    <w:rsid w:val="004F29E2"/>
    <w:rsid w:val="004F4CE8"/>
    <w:rsid w:val="004F66F0"/>
    <w:rsid w:val="004F689B"/>
    <w:rsid w:val="004F6CC1"/>
    <w:rsid w:val="004F6D0B"/>
    <w:rsid w:val="00502735"/>
    <w:rsid w:val="00502BC6"/>
    <w:rsid w:val="00503171"/>
    <w:rsid w:val="005037A0"/>
    <w:rsid w:val="00503942"/>
    <w:rsid w:val="005041E4"/>
    <w:rsid w:val="0050472B"/>
    <w:rsid w:val="00504CEB"/>
    <w:rsid w:val="005056A1"/>
    <w:rsid w:val="005060BF"/>
    <w:rsid w:val="005061AD"/>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107"/>
    <w:rsid w:val="00522978"/>
    <w:rsid w:val="0052306A"/>
    <w:rsid w:val="005234CD"/>
    <w:rsid w:val="00523FEE"/>
    <w:rsid w:val="0052407E"/>
    <w:rsid w:val="0052442D"/>
    <w:rsid w:val="00524670"/>
    <w:rsid w:val="00524F4D"/>
    <w:rsid w:val="0052507F"/>
    <w:rsid w:val="00525928"/>
    <w:rsid w:val="00525F58"/>
    <w:rsid w:val="00526EDC"/>
    <w:rsid w:val="00527DB9"/>
    <w:rsid w:val="00527DE0"/>
    <w:rsid w:val="00532159"/>
    <w:rsid w:val="00532A92"/>
    <w:rsid w:val="00533A56"/>
    <w:rsid w:val="00533B45"/>
    <w:rsid w:val="00533ECD"/>
    <w:rsid w:val="00534A8A"/>
    <w:rsid w:val="00534DA0"/>
    <w:rsid w:val="0053506A"/>
    <w:rsid w:val="0053563D"/>
    <w:rsid w:val="005377D5"/>
    <w:rsid w:val="00540007"/>
    <w:rsid w:val="00540132"/>
    <w:rsid w:val="00540433"/>
    <w:rsid w:val="005423AB"/>
    <w:rsid w:val="005425EE"/>
    <w:rsid w:val="0054296F"/>
    <w:rsid w:val="00542AF3"/>
    <w:rsid w:val="00543584"/>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0D8B"/>
    <w:rsid w:val="00560E9F"/>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4CA"/>
    <w:rsid w:val="00571FB4"/>
    <w:rsid w:val="00572590"/>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1A3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27EE"/>
    <w:rsid w:val="00593B6E"/>
    <w:rsid w:val="005A00A7"/>
    <w:rsid w:val="005A05E7"/>
    <w:rsid w:val="005A09F0"/>
    <w:rsid w:val="005A0B42"/>
    <w:rsid w:val="005A0B84"/>
    <w:rsid w:val="005A14B6"/>
    <w:rsid w:val="005A166D"/>
    <w:rsid w:val="005A3165"/>
    <w:rsid w:val="005A4C47"/>
    <w:rsid w:val="005A5E85"/>
    <w:rsid w:val="005A61EC"/>
    <w:rsid w:val="005A65E6"/>
    <w:rsid w:val="005A6667"/>
    <w:rsid w:val="005A6916"/>
    <w:rsid w:val="005A72BE"/>
    <w:rsid w:val="005A7A64"/>
    <w:rsid w:val="005A7F7D"/>
    <w:rsid w:val="005B06E5"/>
    <w:rsid w:val="005B1DC5"/>
    <w:rsid w:val="005B249B"/>
    <w:rsid w:val="005B26A7"/>
    <w:rsid w:val="005B2906"/>
    <w:rsid w:val="005B3BD4"/>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2845"/>
    <w:rsid w:val="005C2B9E"/>
    <w:rsid w:val="005C32B3"/>
    <w:rsid w:val="005C43EE"/>
    <w:rsid w:val="005C4975"/>
    <w:rsid w:val="005C50FF"/>
    <w:rsid w:val="005C528A"/>
    <w:rsid w:val="005C532D"/>
    <w:rsid w:val="005C5D06"/>
    <w:rsid w:val="005C7D09"/>
    <w:rsid w:val="005C7E45"/>
    <w:rsid w:val="005D0D7F"/>
    <w:rsid w:val="005D1170"/>
    <w:rsid w:val="005D2DC8"/>
    <w:rsid w:val="005D407A"/>
    <w:rsid w:val="005D44D7"/>
    <w:rsid w:val="005D4764"/>
    <w:rsid w:val="005D5447"/>
    <w:rsid w:val="005D5D12"/>
    <w:rsid w:val="005D5F79"/>
    <w:rsid w:val="005D661E"/>
    <w:rsid w:val="005D73AF"/>
    <w:rsid w:val="005D75B8"/>
    <w:rsid w:val="005E0023"/>
    <w:rsid w:val="005E0429"/>
    <w:rsid w:val="005E077C"/>
    <w:rsid w:val="005E08D4"/>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47D"/>
    <w:rsid w:val="005F6D71"/>
    <w:rsid w:val="005F70C3"/>
    <w:rsid w:val="005F75EC"/>
    <w:rsid w:val="005F7CBF"/>
    <w:rsid w:val="0060057D"/>
    <w:rsid w:val="0060164A"/>
    <w:rsid w:val="00601A5C"/>
    <w:rsid w:val="00602098"/>
    <w:rsid w:val="00602336"/>
    <w:rsid w:val="00602641"/>
    <w:rsid w:val="00603219"/>
    <w:rsid w:val="00605118"/>
    <w:rsid w:val="00605761"/>
    <w:rsid w:val="00605A6A"/>
    <w:rsid w:val="00606713"/>
    <w:rsid w:val="006067A4"/>
    <w:rsid w:val="006068B1"/>
    <w:rsid w:val="006076A7"/>
    <w:rsid w:val="00607FD8"/>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17BB"/>
    <w:rsid w:val="006222CC"/>
    <w:rsid w:val="00622582"/>
    <w:rsid w:val="00622A05"/>
    <w:rsid w:val="00623713"/>
    <w:rsid w:val="00623A25"/>
    <w:rsid w:val="006260C4"/>
    <w:rsid w:val="00626696"/>
    <w:rsid w:val="00626EC6"/>
    <w:rsid w:val="0062739F"/>
    <w:rsid w:val="0063146A"/>
    <w:rsid w:val="00631DBD"/>
    <w:rsid w:val="00632103"/>
    <w:rsid w:val="00632222"/>
    <w:rsid w:val="0063263C"/>
    <w:rsid w:val="00633F6B"/>
    <w:rsid w:val="0063460F"/>
    <w:rsid w:val="00634813"/>
    <w:rsid w:val="00635317"/>
    <w:rsid w:val="00635F47"/>
    <w:rsid w:val="006361C6"/>
    <w:rsid w:val="00636944"/>
    <w:rsid w:val="00636E0C"/>
    <w:rsid w:val="0063772E"/>
    <w:rsid w:val="00637D91"/>
    <w:rsid w:val="0064042E"/>
    <w:rsid w:val="006410DA"/>
    <w:rsid w:val="00641F14"/>
    <w:rsid w:val="00642076"/>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842"/>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1099"/>
    <w:rsid w:val="00661E03"/>
    <w:rsid w:val="00662592"/>
    <w:rsid w:val="00662754"/>
    <w:rsid w:val="0066344B"/>
    <w:rsid w:val="00663F69"/>
    <w:rsid w:val="00663F9A"/>
    <w:rsid w:val="006645DE"/>
    <w:rsid w:val="00664D24"/>
    <w:rsid w:val="00665226"/>
    <w:rsid w:val="00665BE7"/>
    <w:rsid w:val="00666483"/>
    <w:rsid w:val="00666DD5"/>
    <w:rsid w:val="006674F2"/>
    <w:rsid w:val="00667703"/>
    <w:rsid w:val="006678B0"/>
    <w:rsid w:val="00670013"/>
    <w:rsid w:val="00670FA9"/>
    <w:rsid w:val="006711A5"/>
    <w:rsid w:val="00671B14"/>
    <w:rsid w:val="00672714"/>
    <w:rsid w:val="00672E6C"/>
    <w:rsid w:val="006731E0"/>
    <w:rsid w:val="00675615"/>
    <w:rsid w:val="00675F2C"/>
    <w:rsid w:val="006762DC"/>
    <w:rsid w:val="00676878"/>
    <w:rsid w:val="006768BE"/>
    <w:rsid w:val="00677D81"/>
    <w:rsid w:val="0068064C"/>
    <w:rsid w:val="00680C10"/>
    <w:rsid w:val="00681379"/>
    <w:rsid w:val="006829F2"/>
    <w:rsid w:val="00682D58"/>
    <w:rsid w:val="006856CF"/>
    <w:rsid w:val="006863A3"/>
    <w:rsid w:val="006901D6"/>
    <w:rsid w:val="0069166E"/>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1907"/>
    <w:rsid w:val="006B2671"/>
    <w:rsid w:val="006B3EE4"/>
    <w:rsid w:val="006B4D84"/>
    <w:rsid w:val="006B4E0B"/>
    <w:rsid w:val="006B605E"/>
    <w:rsid w:val="006B6466"/>
    <w:rsid w:val="006B679A"/>
    <w:rsid w:val="006B7046"/>
    <w:rsid w:val="006B7943"/>
    <w:rsid w:val="006C032A"/>
    <w:rsid w:val="006C038A"/>
    <w:rsid w:val="006C1C4E"/>
    <w:rsid w:val="006C245C"/>
    <w:rsid w:val="006C2630"/>
    <w:rsid w:val="006C3888"/>
    <w:rsid w:val="006C3B88"/>
    <w:rsid w:val="006C3C6B"/>
    <w:rsid w:val="006C3F16"/>
    <w:rsid w:val="006C4C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5205"/>
    <w:rsid w:val="006D5277"/>
    <w:rsid w:val="006D6D04"/>
    <w:rsid w:val="006D7157"/>
    <w:rsid w:val="006D7BD3"/>
    <w:rsid w:val="006D7D62"/>
    <w:rsid w:val="006D7EB8"/>
    <w:rsid w:val="006D7F56"/>
    <w:rsid w:val="006E08C3"/>
    <w:rsid w:val="006E1417"/>
    <w:rsid w:val="006E1583"/>
    <w:rsid w:val="006E4365"/>
    <w:rsid w:val="006E472C"/>
    <w:rsid w:val="006E5100"/>
    <w:rsid w:val="006E5AD2"/>
    <w:rsid w:val="006E6D90"/>
    <w:rsid w:val="006E6E5B"/>
    <w:rsid w:val="006E7397"/>
    <w:rsid w:val="006F05EF"/>
    <w:rsid w:val="006F0D09"/>
    <w:rsid w:val="006F0EE0"/>
    <w:rsid w:val="006F0EE1"/>
    <w:rsid w:val="006F1217"/>
    <w:rsid w:val="006F17B1"/>
    <w:rsid w:val="006F1C88"/>
    <w:rsid w:val="006F211A"/>
    <w:rsid w:val="006F25E4"/>
    <w:rsid w:val="006F2B6E"/>
    <w:rsid w:val="006F2BDE"/>
    <w:rsid w:val="006F2DB5"/>
    <w:rsid w:val="006F32EA"/>
    <w:rsid w:val="006F47F6"/>
    <w:rsid w:val="006F48CF"/>
    <w:rsid w:val="006F5D11"/>
    <w:rsid w:val="006F63AA"/>
    <w:rsid w:val="006F657C"/>
    <w:rsid w:val="006F678E"/>
    <w:rsid w:val="006F6A2C"/>
    <w:rsid w:val="006F6E95"/>
    <w:rsid w:val="006F78E6"/>
    <w:rsid w:val="0070033F"/>
    <w:rsid w:val="007003D2"/>
    <w:rsid w:val="00700547"/>
    <w:rsid w:val="0070085E"/>
    <w:rsid w:val="00701DDF"/>
    <w:rsid w:val="007023B1"/>
    <w:rsid w:val="00702AAA"/>
    <w:rsid w:val="00702F97"/>
    <w:rsid w:val="0070387E"/>
    <w:rsid w:val="00704C10"/>
    <w:rsid w:val="00705D88"/>
    <w:rsid w:val="00707177"/>
    <w:rsid w:val="007076A8"/>
    <w:rsid w:val="007076C6"/>
    <w:rsid w:val="00710175"/>
    <w:rsid w:val="00710201"/>
    <w:rsid w:val="0071066B"/>
    <w:rsid w:val="00710F96"/>
    <w:rsid w:val="007115C8"/>
    <w:rsid w:val="007123FE"/>
    <w:rsid w:val="0071245B"/>
    <w:rsid w:val="00712F4B"/>
    <w:rsid w:val="00712FE0"/>
    <w:rsid w:val="007132BD"/>
    <w:rsid w:val="00713C82"/>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0E54"/>
    <w:rsid w:val="00732AA1"/>
    <w:rsid w:val="0073333A"/>
    <w:rsid w:val="00733990"/>
    <w:rsid w:val="00733ECD"/>
    <w:rsid w:val="00734A5B"/>
    <w:rsid w:val="00734CEE"/>
    <w:rsid w:val="00735E81"/>
    <w:rsid w:val="00735F8A"/>
    <w:rsid w:val="00737013"/>
    <w:rsid w:val="00740C93"/>
    <w:rsid w:val="007418B7"/>
    <w:rsid w:val="00741E7A"/>
    <w:rsid w:val="00742353"/>
    <w:rsid w:val="007429FF"/>
    <w:rsid w:val="00742F5E"/>
    <w:rsid w:val="007430DE"/>
    <w:rsid w:val="00744414"/>
    <w:rsid w:val="0074484B"/>
    <w:rsid w:val="00744E76"/>
    <w:rsid w:val="007453FD"/>
    <w:rsid w:val="007460EF"/>
    <w:rsid w:val="00746B6C"/>
    <w:rsid w:val="007475EA"/>
    <w:rsid w:val="00747A03"/>
    <w:rsid w:val="00747D0A"/>
    <w:rsid w:val="007500A0"/>
    <w:rsid w:val="007504A9"/>
    <w:rsid w:val="0075199C"/>
    <w:rsid w:val="00751A48"/>
    <w:rsid w:val="00753591"/>
    <w:rsid w:val="00753F0D"/>
    <w:rsid w:val="007542F1"/>
    <w:rsid w:val="007544BC"/>
    <w:rsid w:val="0075624E"/>
    <w:rsid w:val="007563D1"/>
    <w:rsid w:val="00757D40"/>
    <w:rsid w:val="0076017B"/>
    <w:rsid w:val="00760B2B"/>
    <w:rsid w:val="00761924"/>
    <w:rsid w:val="00761A1A"/>
    <w:rsid w:val="00762552"/>
    <w:rsid w:val="00763224"/>
    <w:rsid w:val="007636D3"/>
    <w:rsid w:val="00764C8E"/>
    <w:rsid w:val="00764ED7"/>
    <w:rsid w:val="007658B7"/>
    <w:rsid w:val="00765AC4"/>
    <w:rsid w:val="007665C4"/>
    <w:rsid w:val="00766694"/>
    <w:rsid w:val="00766967"/>
    <w:rsid w:val="00766D93"/>
    <w:rsid w:val="0076718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3F6"/>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27F3"/>
    <w:rsid w:val="00793504"/>
    <w:rsid w:val="00793A53"/>
    <w:rsid w:val="00793CCC"/>
    <w:rsid w:val="00793E48"/>
    <w:rsid w:val="00794590"/>
    <w:rsid w:val="00794C2E"/>
    <w:rsid w:val="00795C04"/>
    <w:rsid w:val="0079664E"/>
    <w:rsid w:val="00796B71"/>
    <w:rsid w:val="007A043D"/>
    <w:rsid w:val="007A0634"/>
    <w:rsid w:val="007A0DCF"/>
    <w:rsid w:val="007A12E0"/>
    <w:rsid w:val="007A14D7"/>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6151"/>
    <w:rsid w:val="007B6D58"/>
    <w:rsid w:val="007B7D44"/>
    <w:rsid w:val="007C02C2"/>
    <w:rsid w:val="007C095F"/>
    <w:rsid w:val="007C1897"/>
    <w:rsid w:val="007C18BE"/>
    <w:rsid w:val="007C2012"/>
    <w:rsid w:val="007C2977"/>
    <w:rsid w:val="007C2A7F"/>
    <w:rsid w:val="007C3B66"/>
    <w:rsid w:val="007C4349"/>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5DF"/>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7F777F"/>
    <w:rsid w:val="00800D57"/>
    <w:rsid w:val="00800F3F"/>
    <w:rsid w:val="0080143C"/>
    <w:rsid w:val="008016F1"/>
    <w:rsid w:val="00801C71"/>
    <w:rsid w:val="008023C3"/>
    <w:rsid w:val="008028A4"/>
    <w:rsid w:val="00802A84"/>
    <w:rsid w:val="0080333D"/>
    <w:rsid w:val="00805094"/>
    <w:rsid w:val="00805E0B"/>
    <w:rsid w:val="00806310"/>
    <w:rsid w:val="0081057C"/>
    <w:rsid w:val="008107B2"/>
    <w:rsid w:val="00811D4B"/>
    <w:rsid w:val="00812B0C"/>
    <w:rsid w:val="00813245"/>
    <w:rsid w:val="00814C29"/>
    <w:rsid w:val="00814D0E"/>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5E"/>
    <w:rsid w:val="008267DC"/>
    <w:rsid w:val="008271E3"/>
    <w:rsid w:val="00827AA0"/>
    <w:rsid w:val="008304CB"/>
    <w:rsid w:val="00830DE8"/>
    <w:rsid w:val="008324A5"/>
    <w:rsid w:val="00834604"/>
    <w:rsid w:val="00834A6D"/>
    <w:rsid w:val="00834D71"/>
    <w:rsid w:val="008350EE"/>
    <w:rsid w:val="0083538B"/>
    <w:rsid w:val="00835870"/>
    <w:rsid w:val="00837662"/>
    <w:rsid w:val="0084105A"/>
    <w:rsid w:val="008421A3"/>
    <w:rsid w:val="008425E9"/>
    <w:rsid w:val="00842EBF"/>
    <w:rsid w:val="00843911"/>
    <w:rsid w:val="008443EA"/>
    <w:rsid w:val="00844716"/>
    <w:rsid w:val="00845E80"/>
    <w:rsid w:val="0084763A"/>
    <w:rsid w:val="0084780F"/>
    <w:rsid w:val="0085097F"/>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439C"/>
    <w:rsid w:val="0086528E"/>
    <w:rsid w:val="008653BB"/>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685F"/>
    <w:rsid w:val="008C72B0"/>
    <w:rsid w:val="008C7888"/>
    <w:rsid w:val="008D05CE"/>
    <w:rsid w:val="008D0839"/>
    <w:rsid w:val="008D152A"/>
    <w:rsid w:val="008D1CD5"/>
    <w:rsid w:val="008D2258"/>
    <w:rsid w:val="008D3F0F"/>
    <w:rsid w:val="008D41A7"/>
    <w:rsid w:val="008D467A"/>
    <w:rsid w:val="008D629D"/>
    <w:rsid w:val="008D66EA"/>
    <w:rsid w:val="008D760B"/>
    <w:rsid w:val="008D7B2D"/>
    <w:rsid w:val="008D7F4B"/>
    <w:rsid w:val="008E131E"/>
    <w:rsid w:val="008E15B7"/>
    <w:rsid w:val="008E185B"/>
    <w:rsid w:val="008E278B"/>
    <w:rsid w:val="008E345E"/>
    <w:rsid w:val="008E3B19"/>
    <w:rsid w:val="008E412B"/>
    <w:rsid w:val="008E457E"/>
    <w:rsid w:val="008E5947"/>
    <w:rsid w:val="008E79A5"/>
    <w:rsid w:val="008F0F2E"/>
    <w:rsid w:val="008F167A"/>
    <w:rsid w:val="008F2039"/>
    <w:rsid w:val="008F2BF7"/>
    <w:rsid w:val="008F2E9A"/>
    <w:rsid w:val="008F32C3"/>
    <w:rsid w:val="008F4882"/>
    <w:rsid w:val="008F4C67"/>
    <w:rsid w:val="008F4F70"/>
    <w:rsid w:val="008F5B0B"/>
    <w:rsid w:val="008F5BD4"/>
    <w:rsid w:val="008F65C7"/>
    <w:rsid w:val="008F665F"/>
    <w:rsid w:val="00900F96"/>
    <w:rsid w:val="00901335"/>
    <w:rsid w:val="0090187C"/>
    <w:rsid w:val="00901D09"/>
    <w:rsid w:val="009024E8"/>
    <w:rsid w:val="0090271F"/>
    <w:rsid w:val="00902DB9"/>
    <w:rsid w:val="0090352B"/>
    <w:rsid w:val="0090466A"/>
    <w:rsid w:val="00904715"/>
    <w:rsid w:val="00904B66"/>
    <w:rsid w:val="009062D3"/>
    <w:rsid w:val="00907DD2"/>
    <w:rsid w:val="00911879"/>
    <w:rsid w:val="00911A3A"/>
    <w:rsid w:val="00911DEA"/>
    <w:rsid w:val="0091282B"/>
    <w:rsid w:val="00912CD4"/>
    <w:rsid w:val="00914072"/>
    <w:rsid w:val="00914ACA"/>
    <w:rsid w:val="0091639A"/>
    <w:rsid w:val="00916AC0"/>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69C"/>
    <w:rsid w:val="00931A5E"/>
    <w:rsid w:val="00931AF4"/>
    <w:rsid w:val="009327B3"/>
    <w:rsid w:val="009329B6"/>
    <w:rsid w:val="00932F53"/>
    <w:rsid w:val="00933867"/>
    <w:rsid w:val="0093387F"/>
    <w:rsid w:val="009338FD"/>
    <w:rsid w:val="00933F83"/>
    <w:rsid w:val="00934728"/>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0E30"/>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0687"/>
    <w:rsid w:val="00981E97"/>
    <w:rsid w:val="0098205E"/>
    <w:rsid w:val="00982123"/>
    <w:rsid w:val="009827FB"/>
    <w:rsid w:val="00982E39"/>
    <w:rsid w:val="00983387"/>
    <w:rsid w:val="00983768"/>
    <w:rsid w:val="00983840"/>
    <w:rsid w:val="00983F29"/>
    <w:rsid w:val="00984778"/>
    <w:rsid w:val="00984CEB"/>
    <w:rsid w:val="009851DF"/>
    <w:rsid w:val="009859BF"/>
    <w:rsid w:val="00986FB4"/>
    <w:rsid w:val="0098707B"/>
    <w:rsid w:val="009871BA"/>
    <w:rsid w:val="00987366"/>
    <w:rsid w:val="009877F1"/>
    <w:rsid w:val="00987DD0"/>
    <w:rsid w:val="00990913"/>
    <w:rsid w:val="00991489"/>
    <w:rsid w:val="00991EA8"/>
    <w:rsid w:val="009929F6"/>
    <w:rsid w:val="00992A4D"/>
    <w:rsid w:val="00992DAF"/>
    <w:rsid w:val="009937BD"/>
    <w:rsid w:val="00993EA1"/>
    <w:rsid w:val="00993EBD"/>
    <w:rsid w:val="009951D6"/>
    <w:rsid w:val="00995433"/>
    <w:rsid w:val="00995C57"/>
    <w:rsid w:val="00996146"/>
    <w:rsid w:val="00996165"/>
    <w:rsid w:val="009968D4"/>
    <w:rsid w:val="009A0AF3"/>
    <w:rsid w:val="009A0ED1"/>
    <w:rsid w:val="009A15C1"/>
    <w:rsid w:val="009A1A25"/>
    <w:rsid w:val="009A1A7C"/>
    <w:rsid w:val="009A1E95"/>
    <w:rsid w:val="009A22A2"/>
    <w:rsid w:val="009A22B7"/>
    <w:rsid w:val="009A36A2"/>
    <w:rsid w:val="009A3D14"/>
    <w:rsid w:val="009A443C"/>
    <w:rsid w:val="009A50C5"/>
    <w:rsid w:val="009A5281"/>
    <w:rsid w:val="009A543D"/>
    <w:rsid w:val="009A7164"/>
    <w:rsid w:val="009A7362"/>
    <w:rsid w:val="009A7F1A"/>
    <w:rsid w:val="009A7FCC"/>
    <w:rsid w:val="009B07CD"/>
    <w:rsid w:val="009B113E"/>
    <w:rsid w:val="009B16DE"/>
    <w:rsid w:val="009B2074"/>
    <w:rsid w:val="009B2310"/>
    <w:rsid w:val="009B3AFF"/>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98A"/>
    <w:rsid w:val="009C4B6F"/>
    <w:rsid w:val="009C58C7"/>
    <w:rsid w:val="009C59A8"/>
    <w:rsid w:val="009C5B10"/>
    <w:rsid w:val="009C626B"/>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64D"/>
    <w:rsid w:val="009E1963"/>
    <w:rsid w:val="009E1A17"/>
    <w:rsid w:val="009E2A02"/>
    <w:rsid w:val="009E2AA6"/>
    <w:rsid w:val="009E34EA"/>
    <w:rsid w:val="009E38C6"/>
    <w:rsid w:val="009E3C02"/>
    <w:rsid w:val="009E3D1A"/>
    <w:rsid w:val="009E44ED"/>
    <w:rsid w:val="009E5512"/>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596A"/>
    <w:rsid w:val="009F682B"/>
    <w:rsid w:val="009F72E5"/>
    <w:rsid w:val="009F7BE7"/>
    <w:rsid w:val="009F7BF1"/>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47062"/>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2644"/>
    <w:rsid w:val="00A92840"/>
    <w:rsid w:val="00A930A8"/>
    <w:rsid w:val="00A93B3A"/>
    <w:rsid w:val="00A952F0"/>
    <w:rsid w:val="00A954CF"/>
    <w:rsid w:val="00A954D8"/>
    <w:rsid w:val="00A9564C"/>
    <w:rsid w:val="00A95803"/>
    <w:rsid w:val="00A95CDB"/>
    <w:rsid w:val="00A9671C"/>
    <w:rsid w:val="00A96A18"/>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482"/>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32F1"/>
    <w:rsid w:val="00AC3E63"/>
    <w:rsid w:val="00AC4227"/>
    <w:rsid w:val="00AC4320"/>
    <w:rsid w:val="00AC53D4"/>
    <w:rsid w:val="00AC53FE"/>
    <w:rsid w:val="00AC5D25"/>
    <w:rsid w:val="00AC6120"/>
    <w:rsid w:val="00AC68B0"/>
    <w:rsid w:val="00AD08DE"/>
    <w:rsid w:val="00AD0C68"/>
    <w:rsid w:val="00AD0F1D"/>
    <w:rsid w:val="00AD2619"/>
    <w:rsid w:val="00AD3EBD"/>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73ED"/>
    <w:rsid w:val="00AF7C04"/>
    <w:rsid w:val="00B0013F"/>
    <w:rsid w:val="00B00179"/>
    <w:rsid w:val="00B002EA"/>
    <w:rsid w:val="00B02088"/>
    <w:rsid w:val="00B024E5"/>
    <w:rsid w:val="00B02A76"/>
    <w:rsid w:val="00B03284"/>
    <w:rsid w:val="00B033FA"/>
    <w:rsid w:val="00B0343F"/>
    <w:rsid w:val="00B03746"/>
    <w:rsid w:val="00B03E06"/>
    <w:rsid w:val="00B03E67"/>
    <w:rsid w:val="00B03F15"/>
    <w:rsid w:val="00B046A0"/>
    <w:rsid w:val="00B053AC"/>
    <w:rsid w:val="00B0571A"/>
    <w:rsid w:val="00B06257"/>
    <w:rsid w:val="00B0648D"/>
    <w:rsid w:val="00B07807"/>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6CC2"/>
    <w:rsid w:val="00B17C5E"/>
    <w:rsid w:val="00B17C6C"/>
    <w:rsid w:val="00B204DA"/>
    <w:rsid w:val="00B20900"/>
    <w:rsid w:val="00B21456"/>
    <w:rsid w:val="00B22441"/>
    <w:rsid w:val="00B22CF7"/>
    <w:rsid w:val="00B22EFB"/>
    <w:rsid w:val="00B2397F"/>
    <w:rsid w:val="00B252B2"/>
    <w:rsid w:val="00B25786"/>
    <w:rsid w:val="00B2755F"/>
    <w:rsid w:val="00B27CF3"/>
    <w:rsid w:val="00B27E81"/>
    <w:rsid w:val="00B30224"/>
    <w:rsid w:val="00B30ADA"/>
    <w:rsid w:val="00B331AE"/>
    <w:rsid w:val="00B33313"/>
    <w:rsid w:val="00B34C41"/>
    <w:rsid w:val="00B359B7"/>
    <w:rsid w:val="00B36BDD"/>
    <w:rsid w:val="00B37227"/>
    <w:rsid w:val="00B40AD0"/>
    <w:rsid w:val="00B40C67"/>
    <w:rsid w:val="00B41CAC"/>
    <w:rsid w:val="00B42355"/>
    <w:rsid w:val="00B42667"/>
    <w:rsid w:val="00B42C34"/>
    <w:rsid w:val="00B432CB"/>
    <w:rsid w:val="00B444B8"/>
    <w:rsid w:val="00B44E37"/>
    <w:rsid w:val="00B45ACC"/>
    <w:rsid w:val="00B465AD"/>
    <w:rsid w:val="00B4746E"/>
    <w:rsid w:val="00B47A4D"/>
    <w:rsid w:val="00B47FD1"/>
    <w:rsid w:val="00B516BB"/>
    <w:rsid w:val="00B51B0A"/>
    <w:rsid w:val="00B51ED2"/>
    <w:rsid w:val="00B5205D"/>
    <w:rsid w:val="00B528CB"/>
    <w:rsid w:val="00B52AFD"/>
    <w:rsid w:val="00B54665"/>
    <w:rsid w:val="00B54B44"/>
    <w:rsid w:val="00B5506A"/>
    <w:rsid w:val="00B55369"/>
    <w:rsid w:val="00B55FE7"/>
    <w:rsid w:val="00B56EBC"/>
    <w:rsid w:val="00B57B2F"/>
    <w:rsid w:val="00B60645"/>
    <w:rsid w:val="00B61417"/>
    <w:rsid w:val="00B61E63"/>
    <w:rsid w:val="00B62989"/>
    <w:rsid w:val="00B633C3"/>
    <w:rsid w:val="00B6406E"/>
    <w:rsid w:val="00B642B6"/>
    <w:rsid w:val="00B64D3C"/>
    <w:rsid w:val="00B654A9"/>
    <w:rsid w:val="00B65E42"/>
    <w:rsid w:val="00B6646D"/>
    <w:rsid w:val="00B66F9B"/>
    <w:rsid w:val="00B6737A"/>
    <w:rsid w:val="00B67832"/>
    <w:rsid w:val="00B701A0"/>
    <w:rsid w:val="00B70348"/>
    <w:rsid w:val="00B7177F"/>
    <w:rsid w:val="00B72ABB"/>
    <w:rsid w:val="00B72CC9"/>
    <w:rsid w:val="00B73321"/>
    <w:rsid w:val="00B73B10"/>
    <w:rsid w:val="00B73C97"/>
    <w:rsid w:val="00B73D0C"/>
    <w:rsid w:val="00B74482"/>
    <w:rsid w:val="00B74842"/>
    <w:rsid w:val="00B750C0"/>
    <w:rsid w:val="00B751DC"/>
    <w:rsid w:val="00B76DA4"/>
    <w:rsid w:val="00B7739C"/>
    <w:rsid w:val="00B77ABD"/>
    <w:rsid w:val="00B8019B"/>
    <w:rsid w:val="00B80F4F"/>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350"/>
    <w:rsid w:val="00BA695C"/>
    <w:rsid w:val="00BA6B3D"/>
    <w:rsid w:val="00BA7C98"/>
    <w:rsid w:val="00BA7FDD"/>
    <w:rsid w:val="00BB06CA"/>
    <w:rsid w:val="00BB1117"/>
    <w:rsid w:val="00BB1993"/>
    <w:rsid w:val="00BB1AF7"/>
    <w:rsid w:val="00BB1D64"/>
    <w:rsid w:val="00BB5E22"/>
    <w:rsid w:val="00BB6134"/>
    <w:rsid w:val="00BB6461"/>
    <w:rsid w:val="00BB6E24"/>
    <w:rsid w:val="00BB72E6"/>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28CB"/>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84C"/>
    <w:rsid w:val="00BE7B3F"/>
    <w:rsid w:val="00BF05ED"/>
    <w:rsid w:val="00BF0EB3"/>
    <w:rsid w:val="00BF178C"/>
    <w:rsid w:val="00BF17EA"/>
    <w:rsid w:val="00BF1CF3"/>
    <w:rsid w:val="00BF1E04"/>
    <w:rsid w:val="00BF296A"/>
    <w:rsid w:val="00BF4416"/>
    <w:rsid w:val="00BF449E"/>
    <w:rsid w:val="00BF46D7"/>
    <w:rsid w:val="00BF5561"/>
    <w:rsid w:val="00BF630D"/>
    <w:rsid w:val="00BF6DD4"/>
    <w:rsid w:val="00BF6EB6"/>
    <w:rsid w:val="00BF6F0E"/>
    <w:rsid w:val="00BF7C02"/>
    <w:rsid w:val="00BF7DB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5AF"/>
    <w:rsid w:val="00C20820"/>
    <w:rsid w:val="00C20E9C"/>
    <w:rsid w:val="00C20F6E"/>
    <w:rsid w:val="00C21501"/>
    <w:rsid w:val="00C2251F"/>
    <w:rsid w:val="00C230AE"/>
    <w:rsid w:val="00C235C7"/>
    <w:rsid w:val="00C23FA7"/>
    <w:rsid w:val="00C24132"/>
    <w:rsid w:val="00C24650"/>
    <w:rsid w:val="00C2597A"/>
    <w:rsid w:val="00C25AAF"/>
    <w:rsid w:val="00C25F17"/>
    <w:rsid w:val="00C267B2"/>
    <w:rsid w:val="00C269A3"/>
    <w:rsid w:val="00C2738A"/>
    <w:rsid w:val="00C27752"/>
    <w:rsid w:val="00C27B36"/>
    <w:rsid w:val="00C307F8"/>
    <w:rsid w:val="00C311C2"/>
    <w:rsid w:val="00C31C47"/>
    <w:rsid w:val="00C32347"/>
    <w:rsid w:val="00C323A1"/>
    <w:rsid w:val="00C33079"/>
    <w:rsid w:val="00C330DF"/>
    <w:rsid w:val="00C33133"/>
    <w:rsid w:val="00C333E9"/>
    <w:rsid w:val="00C34690"/>
    <w:rsid w:val="00C34A94"/>
    <w:rsid w:val="00C34F52"/>
    <w:rsid w:val="00C35336"/>
    <w:rsid w:val="00C354F8"/>
    <w:rsid w:val="00C36625"/>
    <w:rsid w:val="00C36915"/>
    <w:rsid w:val="00C3692B"/>
    <w:rsid w:val="00C3770C"/>
    <w:rsid w:val="00C37FDE"/>
    <w:rsid w:val="00C41500"/>
    <w:rsid w:val="00C42782"/>
    <w:rsid w:val="00C43926"/>
    <w:rsid w:val="00C44122"/>
    <w:rsid w:val="00C443E7"/>
    <w:rsid w:val="00C4443E"/>
    <w:rsid w:val="00C4478D"/>
    <w:rsid w:val="00C44FF8"/>
    <w:rsid w:val="00C46C01"/>
    <w:rsid w:val="00C47A66"/>
    <w:rsid w:val="00C47D2D"/>
    <w:rsid w:val="00C47F3D"/>
    <w:rsid w:val="00C50B68"/>
    <w:rsid w:val="00C51135"/>
    <w:rsid w:val="00C51D27"/>
    <w:rsid w:val="00C539C1"/>
    <w:rsid w:val="00C53EEB"/>
    <w:rsid w:val="00C5403F"/>
    <w:rsid w:val="00C54E61"/>
    <w:rsid w:val="00C556FB"/>
    <w:rsid w:val="00C55E9B"/>
    <w:rsid w:val="00C57059"/>
    <w:rsid w:val="00C571B2"/>
    <w:rsid w:val="00C614CA"/>
    <w:rsid w:val="00C614FA"/>
    <w:rsid w:val="00C6236C"/>
    <w:rsid w:val="00C623F2"/>
    <w:rsid w:val="00C62547"/>
    <w:rsid w:val="00C6290A"/>
    <w:rsid w:val="00C62F27"/>
    <w:rsid w:val="00C6309C"/>
    <w:rsid w:val="00C63220"/>
    <w:rsid w:val="00C6391F"/>
    <w:rsid w:val="00C64F82"/>
    <w:rsid w:val="00C65A89"/>
    <w:rsid w:val="00C65E54"/>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0E4D"/>
    <w:rsid w:val="00C81847"/>
    <w:rsid w:val="00C8235D"/>
    <w:rsid w:val="00C8253A"/>
    <w:rsid w:val="00C831DA"/>
    <w:rsid w:val="00C8368A"/>
    <w:rsid w:val="00C83A13"/>
    <w:rsid w:val="00C844E3"/>
    <w:rsid w:val="00C8560D"/>
    <w:rsid w:val="00C864F6"/>
    <w:rsid w:val="00C865A4"/>
    <w:rsid w:val="00C86D1D"/>
    <w:rsid w:val="00C87B8D"/>
    <w:rsid w:val="00C903F3"/>
    <w:rsid w:val="00C9068C"/>
    <w:rsid w:val="00C90B11"/>
    <w:rsid w:val="00C91051"/>
    <w:rsid w:val="00C913CF"/>
    <w:rsid w:val="00C9285D"/>
    <w:rsid w:val="00C92967"/>
    <w:rsid w:val="00C93222"/>
    <w:rsid w:val="00C9499A"/>
    <w:rsid w:val="00C94B64"/>
    <w:rsid w:val="00C957B2"/>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39A9"/>
    <w:rsid w:val="00CB4540"/>
    <w:rsid w:val="00CB474B"/>
    <w:rsid w:val="00CB6926"/>
    <w:rsid w:val="00CB724B"/>
    <w:rsid w:val="00CC05BA"/>
    <w:rsid w:val="00CC325B"/>
    <w:rsid w:val="00CC365E"/>
    <w:rsid w:val="00CC37C9"/>
    <w:rsid w:val="00CC3A58"/>
    <w:rsid w:val="00CC4A80"/>
    <w:rsid w:val="00CC6199"/>
    <w:rsid w:val="00CC7AED"/>
    <w:rsid w:val="00CD0001"/>
    <w:rsid w:val="00CD0243"/>
    <w:rsid w:val="00CD0E61"/>
    <w:rsid w:val="00CD1663"/>
    <w:rsid w:val="00CD1914"/>
    <w:rsid w:val="00CD1CFE"/>
    <w:rsid w:val="00CD3B77"/>
    <w:rsid w:val="00CD3E58"/>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FE"/>
    <w:rsid w:val="00CE3213"/>
    <w:rsid w:val="00CE3BD1"/>
    <w:rsid w:val="00CE3E5A"/>
    <w:rsid w:val="00CE4197"/>
    <w:rsid w:val="00CE41BF"/>
    <w:rsid w:val="00CE476C"/>
    <w:rsid w:val="00CE4AD0"/>
    <w:rsid w:val="00CE4B6F"/>
    <w:rsid w:val="00CE7802"/>
    <w:rsid w:val="00CF07F5"/>
    <w:rsid w:val="00CF0807"/>
    <w:rsid w:val="00CF2C9F"/>
    <w:rsid w:val="00CF56CD"/>
    <w:rsid w:val="00CF5B76"/>
    <w:rsid w:val="00CF6D74"/>
    <w:rsid w:val="00CF717F"/>
    <w:rsid w:val="00CF7583"/>
    <w:rsid w:val="00CF77AE"/>
    <w:rsid w:val="00D00174"/>
    <w:rsid w:val="00D022F2"/>
    <w:rsid w:val="00D04103"/>
    <w:rsid w:val="00D048E7"/>
    <w:rsid w:val="00D05C9E"/>
    <w:rsid w:val="00D12EE1"/>
    <w:rsid w:val="00D133BA"/>
    <w:rsid w:val="00D13AB6"/>
    <w:rsid w:val="00D13B94"/>
    <w:rsid w:val="00D14231"/>
    <w:rsid w:val="00D144D3"/>
    <w:rsid w:val="00D15857"/>
    <w:rsid w:val="00D159C3"/>
    <w:rsid w:val="00D15AEB"/>
    <w:rsid w:val="00D16F35"/>
    <w:rsid w:val="00D17153"/>
    <w:rsid w:val="00D17C95"/>
    <w:rsid w:val="00D20104"/>
    <w:rsid w:val="00D205C5"/>
    <w:rsid w:val="00D20E7D"/>
    <w:rsid w:val="00D21142"/>
    <w:rsid w:val="00D21C67"/>
    <w:rsid w:val="00D21C72"/>
    <w:rsid w:val="00D22430"/>
    <w:rsid w:val="00D23786"/>
    <w:rsid w:val="00D241BA"/>
    <w:rsid w:val="00D241C8"/>
    <w:rsid w:val="00D244FC"/>
    <w:rsid w:val="00D25079"/>
    <w:rsid w:val="00D26988"/>
    <w:rsid w:val="00D26AA2"/>
    <w:rsid w:val="00D27159"/>
    <w:rsid w:val="00D27E3D"/>
    <w:rsid w:val="00D31342"/>
    <w:rsid w:val="00D3258F"/>
    <w:rsid w:val="00D33118"/>
    <w:rsid w:val="00D34B1E"/>
    <w:rsid w:val="00D34BF8"/>
    <w:rsid w:val="00D35CBF"/>
    <w:rsid w:val="00D3619E"/>
    <w:rsid w:val="00D36876"/>
    <w:rsid w:val="00D3723B"/>
    <w:rsid w:val="00D402F5"/>
    <w:rsid w:val="00D41585"/>
    <w:rsid w:val="00D41F54"/>
    <w:rsid w:val="00D42844"/>
    <w:rsid w:val="00D42923"/>
    <w:rsid w:val="00D43109"/>
    <w:rsid w:val="00D43312"/>
    <w:rsid w:val="00D44328"/>
    <w:rsid w:val="00D450E9"/>
    <w:rsid w:val="00D45BDE"/>
    <w:rsid w:val="00D462B7"/>
    <w:rsid w:val="00D46401"/>
    <w:rsid w:val="00D46553"/>
    <w:rsid w:val="00D46599"/>
    <w:rsid w:val="00D46F22"/>
    <w:rsid w:val="00D472C3"/>
    <w:rsid w:val="00D4743D"/>
    <w:rsid w:val="00D50F9B"/>
    <w:rsid w:val="00D50FAB"/>
    <w:rsid w:val="00D5173C"/>
    <w:rsid w:val="00D52268"/>
    <w:rsid w:val="00D52B57"/>
    <w:rsid w:val="00D5397F"/>
    <w:rsid w:val="00D54836"/>
    <w:rsid w:val="00D548D7"/>
    <w:rsid w:val="00D54EF9"/>
    <w:rsid w:val="00D57A47"/>
    <w:rsid w:val="00D57B51"/>
    <w:rsid w:val="00D57E00"/>
    <w:rsid w:val="00D61B6D"/>
    <w:rsid w:val="00D61F7E"/>
    <w:rsid w:val="00D62541"/>
    <w:rsid w:val="00D62E82"/>
    <w:rsid w:val="00D63BB4"/>
    <w:rsid w:val="00D64AA7"/>
    <w:rsid w:val="00D64B2D"/>
    <w:rsid w:val="00D652B8"/>
    <w:rsid w:val="00D66F34"/>
    <w:rsid w:val="00D675CB"/>
    <w:rsid w:val="00D679C7"/>
    <w:rsid w:val="00D717C7"/>
    <w:rsid w:val="00D72BE7"/>
    <w:rsid w:val="00D7323E"/>
    <w:rsid w:val="00D738D6"/>
    <w:rsid w:val="00D73D5E"/>
    <w:rsid w:val="00D73EBA"/>
    <w:rsid w:val="00D742F4"/>
    <w:rsid w:val="00D7510F"/>
    <w:rsid w:val="00D75638"/>
    <w:rsid w:val="00D761D3"/>
    <w:rsid w:val="00D770E3"/>
    <w:rsid w:val="00D7787D"/>
    <w:rsid w:val="00D80795"/>
    <w:rsid w:val="00D80F5E"/>
    <w:rsid w:val="00D840F9"/>
    <w:rsid w:val="00D842AB"/>
    <w:rsid w:val="00D8515E"/>
    <w:rsid w:val="00D8677C"/>
    <w:rsid w:val="00D8694E"/>
    <w:rsid w:val="00D870B2"/>
    <w:rsid w:val="00D8720C"/>
    <w:rsid w:val="00D87697"/>
    <w:rsid w:val="00D87712"/>
    <w:rsid w:val="00D87A08"/>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4FB"/>
    <w:rsid w:val="00DA1584"/>
    <w:rsid w:val="00DA1E58"/>
    <w:rsid w:val="00DA2930"/>
    <w:rsid w:val="00DA3836"/>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18A0"/>
    <w:rsid w:val="00DB276F"/>
    <w:rsid w:val="00DB2B5D"/>
    <w:rsid w:val="00DB4271"/>
    <w:rsid w:val="00DB4BA8"/>
    <w:rsid w:val="00DB5E62"/>
    <w:rsid w:val="00DB6E8D"/>
    <w:rsid w:val="00DB72F8"/>
    <w:rsid w:val="00DC0751"/>
    <w:rsid w:val="00DC0F24"/>
    <w:rsid w:val="00DC133A"/>
    <w:rsid w:val="00DC17FD"/>
    <w:rsid w:val="00DC22F3"/>
    <w:rsid w:val="00DC309B"/>
    <w:rsid w:val="00DC3FE0"/>
    <w:rsid w:val="00DC41E9"/>
    <w:rsid w:val="00DC4DA2"/>
    <w:rsid w:val="00DC4E2C"/>
    <w:rsid w:val="00DC50B4"/>
    <w:rsid w:val="00DC5F65"/>
    <w:rsid w:val="00DC65C4"/>
    <w:rsid w:val="00DC6B88"/>
    <w:rsid w:val="00DC7854"/>
    <w:rsid w:val="00DD02A5"/>
    <w:rsid w:val="00DD06F0"/>
    <w:rsid w:val="00DD102D"/>
    <w:rsid w:val="00DD1C6B"/>
    <w:rsid w:val="00DD2F5C"/>
    <w:rsid w:val="00DD2FC1"/>
    <w:rsid w:val="00DD43BA"/>
    <w:rsid w:val="00DD5515"/>
    <w:rsid w:val="00DD6968"/>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4BF3"/>
    <w:rsid w:val="00E05817"/>
    <w:rsid w:val="00E05969"/>
    <w:rsid w:val="00E06135"/>
    <w:rsid w:val="00E062E3"/>
    <w:rsid w:val="00E074C7"/>
    <w:rsid w:val="00E07A80"/>
    <w:rsid w:val="00E113C0"/>
    <w:rsid w:val="00E11553"/>
    <w:rsid w:val="00E12040"/>
    <w:rsid w:val="00E1289F"/>
    <w:rsid w:val="00E13217"/>
    <w:rsid w:val="00E1324F"/>
    <w:rsid w:val="00E13667"/>
    <w:rsid w:val="00E157BC"/>
    <w:rsid w:val="00E16E40"/>
    <w:rsid w:val="00E17628"/>
    <w:rsid w:val="00E1766C"/>
    <w:rsid w:val="00E21300"/>
    <w:rsid w:val="00E222C2"/>
    <w:rsid w:val="00E22AF6"/>
    <w:rsid w:val="00E22B78"/>
    <w:rsid w:val="00E23136"/>
    <w:rsid w:val="00E23537"/>
    <w:rsid w:val="00E23EC4"/>
    <w:rsid w:val="00E24AF7"/>
    <w:rsid w:val="00E25BEF"/>
    <w:rsid w:val="00E25C19"/>
    <w:rsid w:val="00E26921"/>
    <w:rsid w:val="00E26F9D"/>
    <w:rsid w:val="00E27929"/>
    <w:rsid w:val="00E2799B"/>
    <w:rsid w:val="00E27E3A"/>
    <w:rsid w:val="00E27ECB"/>
    <w:rsid w:val="00E27FAD"/>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6E6"/>
    <w:rsid w:val="00E448A1"/>
    <w:rsid w:val="00E44B83"/>
    <w:rsid w:val="00E44E56"/>
    <w:rsid w:val="00E45A2E"/>
    <w:rsid w:val="00E460B4"/>
    <w:rsid w:val="00E4673B"/>
    <w:rsid w:val="00E50281"/>
    <w:rsid w:val="00E50ADB"/>
    <w:rsid w:val="00E50F6F"/>
    <w:rsid w:val="00E5137D"/>
    <w:rsid w:val="00E51A92"/>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38DB"/>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7645"/>
    <w:rsid w:val="00E77A21"/>
    <w:rsid w:val="00E77AE3"/>
    <w:rsid w:val="00E77E21"/>
    <w:rsid w:val="00E80AC8"/>
    <w:rsid w:val="00E80EB2"/>
    <w:rsid w:val="00E810BF"/>
    <w:rsid w:val="00E8207E"/>
    <w:rsid w:val="00E82646"/>
    <w:rsid w:val="00E82CEF"/>
    <w:rsid w:val="00E832BB"/>
    <w:rsid w:val="00E83451"/>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038"/>
    <w:rsid w:val="00E934E3"/>
    <w:rsid w:val="00E9444B"/>
    <w:rsid w:val="00E94534"/>
    <w:rsid w:val="00E94C85"/>
    <w:rsid w:val="00E94CF6"/>
    <w:rsid w:val="00E95111"/>
    <w:rsid w:val="00E9548F"/>
    <w:rsid w:val="00E966F3"/>
    <w:rsid w:val="00EA0AAF"/>
    <w:rsid w:val="00EA1DC3"/>
    <w:rsid w:val="00EA1ED6"/>
    <w:rsid w:val="00EA20F0"/>
    <w:rsid w:val="00EA26EF"/>
    <w:rsid w:val="00EA3665"/>
    <w:rsid w:val="00EA3A61"/>
    <w:rsid w:val="00EA3B22"/>
    <w:rsid w:val="00EA4092"/>
    <w:rsid w:val="00EA497A"/>
    <w:rsid w:val="00EA5174"/>
    <w:rsid w:val="00EA52F4"/>
    <w:rsid w:val="00EA6B0F"/>
    <w:rsid w:val="00EA6CB4"/>
    <w:rsid w:val="00EA6E76"/>
    <w:rsid w:val="00EA78C8"/>
    <w:rsid w:val="00EA7AE2"/>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4D1"/>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28F3"/>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599"/>
    <w:rsid w:val="00F05D71"/>
    <w:rsid w:val="00F06F0B"/>
    <w:rsid w:val="00F07367"/>
    <w:rsid w:val="00F07388"/>
    <w:rsid w:val="00F07FD6"/>
    <w:rsid w:val="00F10EF9"/>
    <w:rsid w:val="00F11B50"/>
    <w:rsid w:val="00F11B53"/>
    <w:rsid w:val="00F11D6B"/>
    <w:rsid w:val="00F1266A"/>
    <w:rsid w:val="00F12B8B"/>
    <w:rsid w:val="00F13B1B"/>
    <w:rsid w:val="00F1695A"/>
    <w:rsid w:val="00F17066"/>
    <w:rsid w:val="00F2026E"/>
    <w:rsid w:val="00F209AA"/>
    <w:rsid w:val="00F20B49"/>
    <w:rsid w:val="00F20C7B"/>
    <w:rsid w:val="00F2210A"/>
    <w:rsid w:val="00F24069"/>
    <w:rsid w:val="00F24379"/>
    <w:rsid w:val="00F2560B"/>
    <w:rsid w:val="00F2595D"/>
    <w:rsid w:val="00F26A41"/>
    <w:rsid w:val="00F26CFA"/>
    <w:rsid w:val="00F26DA1"/>
    <w:rsid w:val="00F27083"/>
    <w:rsid w:val="00F2754C"/>
    <w:rsid w:val="00F27FB6"/>
    <w:rsid w:val="00F3056A"/>
    <w:rsid w:val="00F31951"/>
    <w:rsid w:val="00F31CC8"/>
    <w:rsid w:val="00F32173"/>
    <w:rsid w:val="00F3250E"/>
    <w:rsid w:val="00F326D6"/>
    <w:rsid w:val="00F32EE5"/>
    <w:rsid w:val="00F33237"/>
    <w:rsid w:val="00F337EC"/>
    <w:rsid w:val="00F3465E"/>
    <w:rsid w:val="00F34934"/>
    <w:rsid w:val="00F34BF6"/>
    <w:rsid w:val="00F36FB1"/>
    <w:rsid w:val="00F37743"/>
    <w:rsid w:val="00F40310"/>
    <w:rsid w:val="00F41313"/>
    <w:rsid w:val="00F4284D"/>
    <w:rsid w:val="00F42B86"/>
    <w:rsid w:val="00F42C9C"/>
    <w:rsid w:val="00F42DE5"/>
    <w:rsid w:val="00F42F5D"/>
    <w:rsid w:val="00F43CB8"/>
    <w:rsid w:val="00F449DD"/>
    <w:rsid w:val="00F44F03"/>
    <w:rsid w:val="00F44FCE"/>
    <w:rsid w:val="00F4537F"/>
    <w:rsid w:val="00F457D8"/>
    <w:rsid w:val="00F45921"/>
    <w:rsid w:val="00F45BF8"/>
    <w:rsid w:val="00F47078"/>
    <w:rsid w:val="00F470FC"/>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054"/>
    <w:rsid w:val="00F55207"/>
    <w:rsid w:val="00F555DE"/>
    <w:rsid w:val="00F56336"/>
    <w:rsid w:val="00F56C30"/>
    <w:rsid w:val="00F578C5"/>
    <w:rsid w:val="00F57BF8"/>
    <w:rsid w:val="00F57BF9"/>
    <w:rsid w:val="00F617A4"/>
    <w:rsid w:val="00F62456"/>
    <w:rsid w:val="00F625C6"/>
    <w:rsid w:val="00F650FB"/>
    <w:rsid w:val="00F653B8"/>
    <w:rsid w:val="00F65A82"/>
    <w:rsid w:val="00F6654E"/>
    <w:rsid w:val="00F66E5B"/>
    <w:rsid w:val="00F67913"/>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873F1"/>
    <w:rsid w:val="00F90592"/>
    <w:rsid w:val="00F905C6"/>
    <w:rsid w:val="00F90E03"/>
    <w:rsid w:val="00F922EB"/>
    <w:rsid w:val="00F926AC"/>
    <w:rsid w:val="00F937A5"/>
    <w:rsid w:val="00F941A4"/>
    <w:rsid w:val="00F94C99"/>
    <w:rsid w:val="00F94E88"/>
    <w:rsid w:val="00F96286"/>
    <w:rsid w:val="00F97925"/>
    <w:rsid w:val="00F97D6E"/>
    <w:rsid w:val="00F97E78"/>
    <w:rsid w:val="00FA0274"/>
    <w:rsid w:val="00FA0449"/>
    <w:rsid w:val="00FA0D44"/>
    <w:rsid w:val="00FA1266"/>
    <w:rsid w:val="00FA1C5C"/>
    <w:rsid w:val="00FA1E18"/>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EC7"/>
    <w:rsid w:val="00FB1F74"/>
    <w:rsid w:val="00FB1FDF"/>
    <w:rsid w:val="00FB21EF"/>
    <w:rsid w:val="00FB2B14"/>
    <w:rsid w:val="00FB3102"/>
    <w:rsid w:val="00FB3729"/>
    <w:rsid w:val="00FB4507"/>
    <w:rsid w:val="00FB46CA"/>
    <w:rsid w:val="00FB5972"/>
    <w:rsid w:val="00FB6463"/>
    <w:rsid w:val="00FB69F2"/>
    <w:rsid w:val="00FB78A7"/>
    <w:rsid w:val="00FC0B77"/>
    <w:rsid w:val="00FC1192"/>
    <w:rsid w:val="00FC2520"/>
    <w:rsid w:val="00FC347B"/>
    <w:rsid w:val="00FC40D3"/>
    <w:rsid w:val="00FC47B0"/>
    <w:rsid w:val="00FC5133"/>
    <w:rsid w:val="00FC568D"/>
    <w:rsid w:val="00FC584B"/>
    <w:rsid w:val="00FC75C1"/>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0DB6"/>
    <w:rsid w:val="00FE1550"/>
    <w:rsid w:val="00FE23ED"/>
    <w:rsid w:val="00FE27FC"/>
    <w:rsid w:val="00FE3DE7"/>
    <w:rsid w:val="00FE3E59"/>
    <w:rsid w:val="00FE4670"/>
    <w:rsid w:val="00FE55FB"/>
    <w:rsid w:val="00FE5909"/>
    <w:rsid w:val="00FE67E7"/>
    <w:rsid w:val="00FE708A"/>
    <w:rsid w:val="00FF0507"/>
    <w:rsid w:val="00FF05DE"/>
    <w:rsid w:val="00FF0BC3"/>
    <w:rsid w:val="00FF1321"/>
    <w:rsid w:val="00FF246E"/>
    <w:rsid w:val="00FF3826"/>
    <w:rsid w:val="00FF3C83"/>
    <w:rsid w:val="00FF4802"/>
    <w:rsid w:val="00FF4FF4"/>
    <w:rsid w:val="00FF5002"/>
    <w:rsid w:val="00FF77D0"/>
    <w:rsid w:val="00FF79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76B0D5D-D666-426E-85AB-D845DE0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FA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uiPriority w:val="99"/>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6"/>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Heading1Char">
    <w:name w:val="Heading 1 Char"/>
    <w:basedOn w:val="DefaultParagraphFont"/>
    <w:link w:val="Heading1"/>
    <w:rsid w:val="00B33313"/>
    <w:rPr>
      <w:rFonts w:ascii="Arial" w:hAnsi="Arial"/>
      <w:sz w:val="36"/>
      <w:lang w:val="en-GB"/>
    </w:rPr>
  </w:style>
  <w:style w:type="paragraph" w:styleId="NormalWeb">
    <w:name w:val="Normal (Web)"/>
    <w:basedOn w:val="Normal"/>
    <w:uiPriority w:val="99"/>
    <w:unhideWhenUsed/>
    <w:rsid w:val="00086758"/>
    <w:pPr>
      <w:spacing w:before="100" w:beforeAutospacing="1" w:after="100" w:afterAutospacing="1"/>
    </w:pPr>
    <w:rPr>
      <w:rFonts w:eastAsia="Times New Roman"/>
      <w:sz w:val="24"/>
      <w:szCs w:val="24"/>
      <w:lang w:val="en-US"/>
    </w:rPr>
  </w:style>
  <w:style w:type="paragraph" w:styleId="BodyText">
    <w:name w:val="Body Text"/>
    <w:basedOn w:val="Normal"/>
    <w:link w:val="BodyTextChar"/>
    <w:qFormat/>
    <w:rsid w:val="00730E5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730E54"/>
    <w:rPr>
      <w:rFonts w:ascii="Arial" w:eastAsia="Times New Roman" w:hAnsi="Arial"/>
      <w:lang w:val="en-GB" w:eastAsia="zh-CN"/>
    </w:rPr>
  </w:style>
  <w:style w:type="character" w:customStyle="1" w:styleId="fontstyle01">
    <w:name w:val="fontstyle01"/>
    <w:basedOn w:val="DefaultParagraphFont"/>
    <w:rsid w:val="008C685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C685F"/>
    <w:rPr>
      <w:rFonts w:ascii="TimesNewRomanPS-ItalicMT" w:hAnsi="TimesNewRomanPS-ItalicMT" w:hint="default"/>
      <w:b w:val="0"/>
      <w:bCs w:val="0"/>
      <w:i/>
      <w:iCs/>
      <w:color w:val="000000"/>
      <w:sz w:val="20"/>
      <w:szCs w:val="20"/>
    </w:rPr>
  </w:style>
  <w:style w:type="character" w:styleId="Emphasis">
    <w:name w:val="Emphasis"/>
    <w:basedOn w:val="DefaultParagraphFont"/>
    <w:uiPriority w:val="20"/>
    <w:qFormat/>
    <w:rsid w:val="002166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01396">
      <w:bodyDiv w:val="1"/>
      <w:marLeft w:val="0"/>
      <w:marRight w:val="0"/>
      <w:marTop w:val="0"/>
      <w:marBottom w:val="0"/>
      <w:divBdr>
        <w:top w:val="none" w:sz="0" w:space="0" w:color="auto"/>
        <w:left w:val="none" w:sz="0" w:space="0" w:color="auto"/>
        <w:bottom w:val="none" w:sz="0" w:space="0" w:color="auto"/>
        <w:right w:val="none" w:sz="0" w:space="0" w:color="auto"/>
      </w:divBdr>
    </w:div>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82646364">
      <w:bodyDiv w:val="1"/>
      <w:marLeft w:val="0"/>
      <w:marRight w:val="0"/>
      <w:marTop w:val="0"/>
      <w:marBottom w:val="0"/>
      <w:divBdr>
        <w:top w:val="none" w:sz="0" w:space="0" w:color="auto"/>
        <w:left w:val="none" w:sz="0" w:space="0" w:color="auto"/>
        <w:bottom w:val="none" w:sz="0" w:space="0" w:color="auto"/>
        <w:right w:val="none" w:sz="0" w:space="0" w:color="auto"/>
      </w:divBdr>
    </w:div>
    <w:div w:id="142163140">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24456094">
      <w:bodyDiv w:val="1"/>
      <w:marLeft w:val="0"/>
      <w:marRight w:val="0"/>
      <w:marTop w:val="0"/>
      <w:marBottom w:val="0"/>
      <w:divBdr>
        <w:top w:val="none" w:sz="0" w:space="0" w:color="auto"/>
        <w:left w:val="none" w:sz="0" w:space="0" w:color="auto"/>
        <w:bottom w:val="none" w:sz="0" w:space="0" w:color="auto"/>
        <w:right w:val="none" w:sz="0" w:space="0" w:color="auto"/>
      </w:divBdr>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39251346">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 w:id="212356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2.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4967E0D7-D0B8-4042-B548-3B79530490C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67</TotalTime>
  <Pages>4</Pages>
  <Words>1653</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5</cp:revision>
  <dcterms:created xsi:type="dcterms:W3CDTF">2024-02-12T20:47:00Z</dcterms:created>
  <dcterms:modified xsi:type="dcterms:W3CDTF">2024-02-16T22:49:00Z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